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color w:val="auto"/>
          <w:sz w:val="32"/>
          <w:szCs w:val="32"/>
          <w:highlight w:val="none"/>
        </w:rPr>
      </w:pPr>
      <w:r>
        <w:rPr>
          <w:rFonts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16" w:hanging="1818"/>
        <w:jc w:val="left"/>
        <w:spacing w:line="360" w:lineRule="auto"/>
        <w:tabs>
          <w:tab w:val="left" w:pos="3240" w:leader="none"/>
          <w:tab w:val="left" w:pos="3420" w:leader="none"/>
        </w:tabs>
        <w:rPr>
          <w:rFonts w:hint="eastAsia" w:ascii="宋体" w:hAnsi="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常州市第二人民医院阳湖院区食堂餐饮</w:t>
      </w:r>
      <w:r/>
    </w:p>
    <w:p>
      <w:pPr>
        <w:ind w:left="2800" w:hanging="7"/>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hint="eastAsia" w:ascii="宋体" w:hAnsi="宋体"/>
          <w:bCs/>
          <w:color w:val="auto"/>
          <w:sz w:val="36"/>
          <w:szCs w:val="36"/>
          <w:highlight w:val="none"/>
          <w:lang w:eastAsia="zh-CN"/>
        </w:rPr>
        <w:t xml:space="preserve">服务项目</w:t>
      </w:r>
      <w:r/>
    </w:p>
    <w:p>
      <w:pPr>
        <w:ind w:left="2816" w:hanging="1818"/>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bookmarkStart w:id="0" w:name="_Hlk140156589"/>
      <w:r/>
      <w:bookmarkStart w:id="920" w:name="_GoBack"/>
      <w:r/>
      <w:bookmarkEnd w:id="920"/>
      <w:r>
        <w:rPr>
          <w:rFonts w:hint="eastAsia" w:ascii="宋体" w:hAnsi="宋体"/>
          <w:bCs/>
          <w:color w:val="auto"/>
          <w:sz w:val="36"/>
          <w:szCs w:val="36"/>
          <w:highlight w:val="none"/>
          <w:lang w:eastAsia="zh-CN"/>
        </w:rPr>
        <w:t xml:space="preserve">JSZC-320400-YTZB-G2026-0032</w:t>
      </w:r>
      <w:bookmarkEnd w:id="0"/>
      <w:r/>
    </w:p>
    <w:p>
      <w:pPr>
        <w:ind w:left="2816" w:hanging="1818"/>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采 购 人：</w:t>
      </w:r>
      <w:bookmarkStart w:id="1" w:name="_Hlk140156643"/>
      <w:r>
        <w:rPr>
          <w:rFonts w:hint="eastAsia" w:ascii="宋体" w:hAnsi="宋体"/>
          <w:bCs/>
          <w:color w:val="auto"/>
          <w:sz w:val="36"/>
          <w:szCs w:val="36"/>
          <w:highlight w:val="none"/>
          <w:lang w:eastAsia="zh-CN"/>
        </w:rPr>
        <w:t xml:space="preserve">常州市第二人民医院</w:t>
      </w:r>
      <w:bookmarkEnd w:id="1"/>
      <w:r/>
    </w:p>
    <w:p>
      <w:pPr>
        <w:ind w:left="2816" w:hanging="1818"/>
        <w:jc w:val="left"/>
        <w:spacing w:line="360" w:lineRule="auto"/>
        <w:tabs>
          <w:tab w:val="left" w:pos="3240" w:leader="none"/>
          <w:tab w:val="left" w:pos="3420" w:leader="none"/>
        </w:tabs>
        <w:rPr>
          <w:rFonts w:ascii="宋体" w:hAnsi="宋体"/>
          <w:bCs/>
          <w:color w:val="auto"/>
          <w:sz w:val="36"/>
          <w:szCs w:val="36"/>
          <w:highlight w:val="none"/>
        </w:r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常州盈泰招标有限公司</w:t>
      </w:r>
      <w:r>
        <w:rPr>
          <w:rFonts w:ascii="宋体" w:hAnsi="宋体"/>
          <w:bCs/>
          <w:color w:val="auto"/>
          <w:sz w:val="36"/>
          <w:szCs w:val="36"/>
          <w:highlight w:val="none"/>
        </w:rPr>
        <w:t xml:space="preserve"> </w:t>
      </w:r>
      <w:r/>
    </w:p>
    <w:p>
      <w:pPr>
        <w:jc w:val="left"/>
        <w:widowControl/>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080" w:bottom="1882" w:left="1587" w:header="851" w:footer="851" w:gutter="0"/>
          <w:pgNumType w:start="1"/>
          <w:cols w:num="1" w:sep="0" w:space="720" w:equalWidth="1"/>
          <w:docGrid w:linePitch="360"/>
          <w:titlePg/>
        </w:sectPr>
      </w:pPr>
      <w:r>
        <w:rPr>
          <w:rFonts w:ascii="宋体" w:hAnsi="宋体"/>
          <w:b/>
          <w:color w:val="auto"/>
          <w:sz w:val="72"/>
          <w:highlight w:val="none"/>
        </w:rPr>
      </w:r>
      <w:r/>
    </w:p>
    <w:p>
      <w:pPr>
        <w:jc w:val="center"/>
        <w:spacing w:line="360" w:lineRule="auto"/>
        <w:rPr>
          <w:rFonts w:ascii="宋体" w:hAnsi="宋体"/>
          <w:b/>
          <w:color w:val="auto"/>
          <w:sz w:val="36"/>
          <w:szCs w:val="36"/>
          <w:highlight w:val="none"/>
        </w:rPr>
        <w:outlineLvl w:val="0"/>
      </w:pPr>
      <w:r/>
      <w:bookmarkStart w:id="2" w:name="_Toc28936"/>
      <w:r/>
      <w:bookmarkStart w:id="3" w:name="_Toc6210"/>
      <w:r/>
      <w:bookmarkStart w:id="4" w:name="_Toc8777"/>
      <w:r/>
      <w:bookmarkStart w:id="5" w:name="_Toc146275788"/>
      <w:r/>
      <w:bookmarkStart w:id="6" w:name="_Toc21543"/>
      <w:r/>
      <w:bookmarkStart w:id="7" w:name="_Toc31228"/>
      <w:r/>
      <w:bookmarkStart w:id="8" w:name="_Toc140168422"/>
      <w:r/>
      <w:bookmarkStart w:id="9" w:name="_Toc99301418"/>
      <w:r>
        <w:rPr>
          <w:rFonts w:ascii="宋体" w:hAnsi="宋体"/>
          <w:b/>
          <w:color w:val="auto"/>
          <w:sz w:val="36"/>
          <w:szCs w:val="36"/>
          <w:highlight w:val="none"/>
        </w:rPr>
        <w:t xml:space="preserve">目      录</w:t>
      </w:r>
      <w:bookmarkEnd w:id="2"/>
      <w:r/>
      <w:bookmarkEnd w:id="3"/>
      <w:r/>
      <w:bookmarkEnd w:id="4"/>
      <w:r/>
      <w:bookmarkEnd w:id="5"/>
      <w:r/>
      <w:bookmarkEnd w:id="6"/>
      <w:r/>
      <w:bookmarkEnd w:id="7"/>
      <w:r/>
      <w:bookmarkEnd w:id="8"/>
      <w:r/>
      <w:bookmarkEnd w:id="9"/>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890"/>
        <w:tabs>
          <w:tab w:val="clear" w:pos="1050" w:leader="none"/>
          <w:tab w:val="clear" w:pos="8937" w:leader="none"/>
          <w:tab w:val="right" w:pos="9272" w:leader="dot"/>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890"/>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890"/>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 xml:space="preserve">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color w:val="auto"/>
          <w:sz w:val="28"/>
          <w:szCs w:val="28"/>
          <w:highlight w:val="none"/>
        </w:rPr>
        <w:fldChar w:fldCharType="end"/>
      </w:r>
      <w:r/>
    </w:p>
    <w:p>
      <w:pPr>
        <w:pStyle w:val="890"/>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 xml:space="preserve">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color w:val="auto"/>
          <w:sz w:val="28"/>
          <w:szCs w:val="28"/>
          <w:highlight w:val="none"/>
        </w:rPr>
        <w:fldChar w:fldCharType="end"/>
      </w:r>
      <w:r/>
    </w:p>
    <w:p>
      <w:pPr>
        <w:pStyle w:val="890"/>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 xml:space="preserve">36</w:t>
      </w:r>
      <w:r>
        <w:rPr>
          <w:color w:val="auto"/>
          <w:sz w:val="28"/>
          <w:szCs w:val="28"/>
          <w:highlight w:val="none"/>
        </w:rPr>
        <w:fldChar w:fldCharType="end"/>
      </w:r>
      <w:r>
        <w:rPr>
          <w:color w:val="auto"/>
          <w:sz w:val="28"/>
          <w:szCs w:val="28"/>
          <w:highlight w:val="none"/>
        </w:rPr>
        <w:fldChar w:fldCharType="end"/>
      </w:r>
      <w:r/>
    </w:p>
    <w:p>
      <w:pPr>
        <w:pStyle w:val="890"/>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 xml:space="preserve">第六章   拟签订的合同文本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_Toc8697 \h </w:instrText>
      </w:r>
      <w:r>
        <w:rPr>
          <w:color w:val="auto"/>
          <w:sz w:val="28"/>
          <w:szCs w:val="28"/>
          <w:highlight w:val="none"/>
        </w:rPr>
        <w:fldChar w:fldCharType="separate"/>
      </w:r>
      <w:r>
        <w:rPr>
          <w:color w:val="auto"/>
          <w:sz w:val="28"/>
          <w:szCs w:val="28"/>
          <w:highlight w:val="none"/>
        </w:rPr>
        <w:t xml:space="preserve">46</w:t>
      </w:r>
      <w:r>
        <w:rPr>
          <w:color w:val="auto"/>
          <w:sz w:val="28"/>
          <w:szCs w:val="28"/>
          <w:highlight w:val="none"/>
        </w:rPr>
        <w:fldChar w:fldCharType="end"/>
      </w:r>
      <w:r>
        <w:rPr>
          <w:color w:val="auto"/>
          <w:sz w:val="28"/>
          <w:szCs w:val="28"/>
          <w:highlight w:val="none"/>
        </w:rPr>
        <w:fldChar w:fldCharType="end"/>
      </w:r>
      <w:r/>
    </w:p>
    <w:p>
      <w:pPr>
        <w:pStyle w:val="890"/>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 xml:space="preserve">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_Toc25594 \h </w:instrText>
      </w:r>
      <w:r>
        <w:rPr>
          <w:color w:val="auto"/>
          <w:sz w:val="28"/>
          <w:szCs w:val="28"/>
          <w:highlight w:val="none"/>
        </w:rPr>
        <w:fldChar w:fldCharType="separate"/>
      </w:r>
      <w:r>
        <w:rPr>
          <w:color w:val="auto"/>
          <w:sz w:val="28"/>
          <w:szCs w:val="28"/>
          <w:highlight w:val="none"/>
        </w:rPr>
        <w:t xml:space="preserve">52</w:t>
      </w:r>
      <w:r>
        <w:rPr>
          <w:color w:val="auto"/>
          <w:sz w:val="28"/>
          <w:szCs w:val="28"/>
          <w:highlight w:val="none"/>
        </w:rPr>
        <w:fldChar w:fldCharType="end"/>
      </w:r>
      <w:r>
        <w:rPr>
          <w:color w:val="auto"/>
          <w:sz w:val="28"/>
          <w:szCs w:val="28"/>
          <w:highlight w:val="none"/>
        </w:rPr>
        <w:fldChar w:fldCharType="end"/>
      </w:r>
      <w:r/>
    </w:p>
    <w:p>
      <w:pPr>
        <w:pStyle w:val="890"/>
        <w:spacing w:line="360" w:lineRule="auto"/>
        <w:rPr>
          <w:b w:val="0"/>
          <w:color w:val="auto"/>
          <w:sz w:val="32"/>
          <w:szCs w:val="32"/>
          <w:highlight w:val="none"/>
        </w:rPr>
      </w:pPr>
      <w:r>
        <w:rPr>
          <w:color w:val="auto"/>
          <w:sz w:val="28"/>
          <w:szCs w:val="32"/>
          <w:highlight w:val="none"/>
        </w:rPr>
        <w:fldChar w:fldCharType="end"/>
      </w:r>
      <w:r/>
    </w:p>
    <w:p>
      <w:pPr>
        <w:jc w:val="center"/>
        <w:spacing w:line="360" w:lineRule="auto"/>
        <w:rPr>
          <w:rFonts w:ascii="宋体" w:hAnsi="宋体"/>
          <w:color w:val="auto"/>
          <w:sz w:val="24"/>
          <w:highlight w:val="none"/>
        </w:rPr>
        <w:outlineLvl w:val="0"/>
      </w:pPr>
      <w:r>
        <w:rPr>
          <w:rFonts w:ascii="宋体" w:hAnsi="宋体"/>
          <w:color w:val="auto"/>
          <w:sz w:val="24"/>
          <w:highlight w:val="none"/>
        </w:rPr>
      </w:r>
      <w:r/>
    </w:p>
    <w:p>
      <w:pPr>
        <w:jc w:val="center"/>
        <w:spacing w:line="360" w:lineRule="auto"/>
        <w:rPr>
          <w:rFonts w:ascii="宋体" w:hAnsi="宋体"/>
          <w:b/>
          <w:color w:val="auto"/>
          <w:sz w:val="24"/>
          <w:highlight w:val="none"/>
        </w:rPr>
        <w:sectPr>
          <w:headerReference w:type="first" r:id="rId11"/>
          <w:footerReference w:type="default" r:id="rId19"/>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highlight w:val="none"/>
        </w:rPr>
      </w:r>
      <w:r/>
    </w:p>
    <w:p>
      <w:pPr>
        <w:jc w:val="center"/>
        <w:spacing w:line="360" w:lineRule="auto"/>
        <w:rPr>
          <w:rFonts w:ascii="宋体" w:hAnsi="宋体"/>
          <w:b/>
          <w:color w:val="auto"/>
          <w:sz w:val="36"/>
          <w:szCs w:val="36"/>
          <w:highlight w:val="none"/>
        </w:rPr>
        <w:outlineLvl w:val="0"/>
      </w:pPr>
      <w:r/>
      <w:bookmarkStart w:id="10" w:name="_Toc20247"/>
      <w:r>
        <w:rPr>
          <w:rFonts w:ascii="宋体" w:hAnsi="宋体"/>
          <w:b/>
          <w:color w:val="auto"/>
          <w:sz w:val="36"/>
          <w:szCs w:val="36"/>
          <w:highlight w:val="none"/>
        </w:rPr>
        <w:t xml:space="preserve">第一章   投标邀请</w:t>
      </w:r>
      <w:bookmarkEnd w:id="10"/>
      <w:r/>
      <w:r/>
    </w:p>
    <w:p>
      <w:pPr>
        <w:ind w:firstLine="480"/>
        <w:spacing w:line="360" w:lineRule="auto"/>
        <w:rPr>
          <w:rFonts w:ascii="宋体" w:hAnsi="宋体"/>
          <w:color w:val="auto"/>
          <w:sz w:val="24"/>
          <w:highlight w:val="none"/>
        </w:rPr>
      </w:pPr>
      <w:r/>
      <w:bookmarkStart w:id="11" w:name="_Toc35393790"/>
      <w:r/>
      <w:bookmarkStart w:id="12" w:name="_Toc28359002"/>
      <w:r/>
      <w:bookmarkStart w:id="13" w:name="_Toc35393621"/>
      <w:r/>
      <w:bookmarkStart w:id="14" w:name="_Toc28359079"/>
      <w:r/>
      <w:bookmarkStart w:id="15" w:name="_Hlk24379207"/>
      <w:r/>
      <w:r/>
    </w:p>
    <w:p>
      <w:pPr>
        <w:pStyle w:val="860"/>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1.项目编号：</w:t>
      </w:r>
      <w:r>
        <w:rPr>
          <w:rFonts w:hint="eastAsia" w:ascii="宋体" w:hAnsi="宋体"/>
          <w:color w:val="auto"/>
          <w:sz w:val="24"/>
          <w:highlight w:val="none"/>
          <w:lang w:eastAsia="zh-CN"/>
        </w:rPr>
        <w:t xml:space="preserve">JSZC-320400-YTZB-G2026-0032</w:t>
      </w:r>
      <w:r/>
    </w:p>
    <w:p>
      <w:pPr>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2.项目名称：</w:t>
      </w:r>
      <w:bookmarkEnd w:id="15"/>
      <w:r/>
      <w:bookmarkStart w:id="16" w:name="_Hlk140156648"/>
      <w:r>
        <w:rPr>
          <w:rFonts w:hint="eastAsia" w:ascii="宋体" w:hAnsi="宋体"/>
          <w:color w:val="auto"/>
          <w:sz w:val="24"/>
          <w:highlight w:val="none"/>
          <w:lang w:eastAsia="zh-CN"/>
        </w:rPr>
        <w:t xml:space="preserve">常州市第二人民医院阳湖院区食堂餐饮服务项目</w:t>
      </w:r>
      <w:bookmarkEnd w:id="16"/>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项目预算金额：人民币</w:t>
      </w:r>
      <w:r>
        <w:rPr>
          <w:rFonts w:hint="eastAsia" w:ascii="宋体" w:hAnsi="宋体"/>
          <w:color w:val="auto"/>
          <w:sz w:val="24"/>
          <w:highlight w:val="none"/>
          <w:lang w:val="en-US" w:eastAsia="zh-CN"/>
        </w:rPr>
        <w:t xml:space="preserve">1500</w:t>
      </w:r>
      <w:r>
        <w:rPr>
          <w:rFonts w:hint="eastAsia" w:ascii="宋体" w:hAnsi="宋体"/>
          <w:color w:val="auto"/>
          <w:sz w:val="24"/>
          <w:highlight w:val="none"/>
        </w:rPr>
        <w:t xml:space="preserve">万元/</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w:t>
      </w:r>
      <w:r/>
    </w:p>
    <w:p>
      <w:pPr>
        <w:ind w:firstLine="72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项目最高限价（控制价）：本项目</w:t>
      </w:r>
      <w:r>
        <w:rPr>
          <w:rFonts w:hint="eastAsia" w:ascii="宋体" w:hAnsi="宋体"/>
          <w:color w:val="auto"/>
          <w:sz w:val="24"/>
          <w:highlight w:val="none"/>
          <w:lang w:val="en-US" w:eastAsia="zh-CN"/>
        </w:rPr>
        <w:t xml:space="preserve">以优惠</w:t>
      </w:r>
      <w:r>
        <w:rPr>
          <w:rFonts w:hint="eastAsia" w:ascii="宋体" w:hAnsi="宋体"/>
          <w:color w:val="auto"/>
          <w:sz w:val="24"/>
          <w:highlight w:val="none"/>
        </w:rPr>
        <w:t xml:space="preserve">率报价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例如：</w:t>
      </w:r>
      <w:r>
        <w:rPr>
          <w:rFonts w:hint="eastAsia" w:ascii="宋体" w:hAnsi="宋体"/>
          <w:color w:val="auto"/>
          <w:sz w:val="24"/>
          <w:highlight w:val="none"/>
          <w:lang w:eastAsia="zh-CN"/>
        </w:rPr>
        <w:t xml:space="preserve">年度固定服务费基准总额</w:t>
      </w:r>
      <w:r>
        <w:rPr>
          <w:rFonts w:hint="eastAsia" w:ascii="宋体" w:hAnsi="宋体"/>
          <w:color w:val="auto"/>
          <w:sz w:val="24"/>
          <w:highlight w:val="none"/>
          <w:lang w:val="en-US" w:eastAsia="zh-CN"/>
        </w:rPr>
        <w:t xml:space="preserve">为40%，则报价优惠</w:t>
      </w:r>
      <w:r>
        <w:rPr>
          <w:rFonts w:hint="eastAsia" w:ascii="宋体" w:hAnsi="宋体"/>
          <w:color w:val="auto"/>
          <w:sz w:val="24"/>
          <w:highlight w:val="none"/>
        </w:rPr>
        <w:t xml:space="preserve">率</w:t>
      </w:r>
      <w:r>
        <w:rPr>
          <w:rFonts w:hint="eastAsia" w:ascii="宋体" w:hAnsi="宋体"/>
          <w:color w:val="auto"/>
          <w:sz w:val="24"/>
          <w:highlight w:val="none"/>
          <w:lang w:val="en-US" w:eastAsia="zh-CN"/>
        </w:rPr>
        <w:t xml:space="preserve">为60%。其中服务费占职工食堂总营收的固定比例及占病员食堂总营收的固定比例均不得高于40%。</w:t>
      </w:r>
      <w:r/>
    </w:p>
    <w:p>
      <w:pPr>
        <w:numPr>
          <w:ilvl w:val="0"/>
          <w:numId w:val="9"/>
        </w:numPr>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采购</w:t>
      </w:r>
      <w:r>
        <w:rPr>
          <w:rFonts w:hint="eastAsia" w:ascii="宋体" w:hAnsi="宋体"/>
          <w:color w:val="auto"/>
          <w:sz w:val="24"/>
          <w:highlight w:val="none"/>
        </w:rPr>
        <w:t xml:space="preserve">需求：</w:t>
      </w:r>
      <w:r>
        <w:rPr>
          <w:rFonts w:hint="eastAsia" w:ascii="宋体" w:hAnsi="宋体"/>
          <w:color w:val="auto"/>
          <w:sz w:val="24"/>
          <w:highlight w:val="none"/>
          <w:lang w:eastAsia="zh-CN"/>
        </w:rPr>
        <w:t xml:space="preserve">本项目为常州市第二人民医院阳湖院区食堂餐饮服务项目，</w:t>
      </w:r>
      <w:r>
        <w:rPr>
          <w:rFonts w:hint="eastAsia" w:ascii="宋体" w:hAnsi="宋体"/>
          <w:color w:val="auto"/>
          <w:sz w:val="24"/>
          <w:highlight w:val="none"/>
          <w:lang w:val="en-US" w:eastAsia="zh-CN"/>
        </w:rPr>
        <w:t xml:space="preserve">具体详见公开招标文件。</w:t>
      </w:r>
      <w:r/>
    </w:p>
    <w:p>
      <w:pPr>
        <w:numPr>
          <w:ilvl w:val="0"/>
          <w:numId w:val="9"/>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本项目服务总期限3年，</w:t>
      </w:r>
      <w:r>
        <w:rPr>
          <w:rFonts w:hint="eastAsia" w:ascii="宋体" w:hAnsi="宋体"/>
          <w:color w:val="auto"/>
          <w:sz w:val="24"/>
          <w:highlight w:val="none"/>
        </w:rPr>
        <w:t xml:space="preserve">合同总价款不得超过本项目预算总额。当合同累计实际支付金额达到采购预算总额时，本合同即时自动终止；若</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年服务期满但预算金额尚未使用完毕，合同到期自动终止。</w:t>
      </w:r>
      <w:r/>
    </w:p>
    <w:p>
      <w:pPr>
        <w:numPr>
          <w:ilvl w:val="0"/>
          <w:numId w:val="0"/>
        </w:num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在服务总期限3年内，实行一年一签合同模式。每个服务年度期满，经采购人年度考核合格，可续签下一年度合同，最多续签2次；年度考核不合格，采购人有权直接终止合同，不予续签。</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本项目是否接受联合体投标：□是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本项目是否接受</w:t>
      </w:r>
      <w:r>
        <w:rPr>
          <w:rFonts w:hint="eastAsia" w:ascii="宋体" w:hAnsi="宋体"/>
          <w:color w:val="auto"/>
          <w:sz w:val="24"/>
          <w:highlight w:val="none"/>
        </w:rPr>
        <w:t xml:space="preserve">进口产品</w:t>
      </w:r>
      <w:r>
        <w:rPr>
          <w:rFonts w:ascii="宋体" w:hAnsi="宋体"/>
          <w:color w:val="auto"/>
          <w:sz w:val="24"/>
          <w:highlight w:val="none"/>
        </w:rPr>
        <w:t xml:space="preserve">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pStyle w:val="860"/>
        <w:jc w:val="left"/>
        <w:spacing w:before="0" w:line="360" w:lineRule="auto"/>
        <w:rPr>
          <w:rFonts w:ascii="宋体" w:hAnsi="宋体" w:eastAsia="宋体"/>
          <w:color w:val="auto"/>
          <w:sz w:val="24"/>
          <w:szCs w:val="24"/>
          <w:highlight w:val="none"/>
        </w:rPr>
      </w:pPr>
      <w:r/>
      <w:bookmarkStart w:id="17" w:name="_Toc35393622"/>
      <w:r/>
      <w:bookmarkStart w:id="18" w:name="_Toc35393791"/>
      <w:r/>
      <w:bookmarkStart w:id="19" w:name="_Toc28359003"/>
      <w:r/>
      <w:bookmarkStart w:id="20" w:name="_Toc28359080"/>
      <w:r>
        <w:rPr>
          <w:rFonts w:ascii="宋体" w:hAnsi="宋体" w:eastAsia="宋体"/>
          <w:color w:val="auto"/>
          <w:sz w:val="24"/>
          <w:szCs w:val="24"/>
          <w:highlight w:val="none"/>
        </w:rPr>
        <w:t xml:space="preserve">二、申请人的资格要求（须同时满足）</w:t>
      </w:r>
      <w:bookmarkEnd w:id="17"/>
      <w:r/>
      <w:bookmarkEnd w:id="18"/>
      <w:r/>
      <w:bookmarkEnd w:id="19"/>
      <w:r/>
      <w:bookmarkEnd w:id="20"/>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bookmarkStart w:id="21" w:name="_Toc28359004"/>
      <w:r/>
      <w:bookmarkStart w:id="22" w:name="_Toc28359081"/>
      <w:r>
        <w:rPr>
          <w:rFonts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2.1 中小企业政策</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本项目专门面向 </w:t>
      </w:r>
      <w:r>
        <w:rPr>
          <w:rFonts w:hint="eastAsia" w:ascii="宋体" w:hAnsi="宋体"/>
          <w:color w:val="auto"/>
          <w:sz w:val="24"/>
          <w:highlight w:val="none"/>
        </w:rPr>
        <w:t xml:space="preserve">□</w:t>
      </w:r>
      <w:r>
        <w:rPr>
          <w:rFonts w:ascii="宋体" w:hAnsi="宋体"/>
          <w:color w:val="auto"/>
          <w:sz w:val="24"/>
          <w:highlight w:val="none"/>
        </w:rPr>
        <w:t xml:space="preserve">中小 </w:t>
      </w:r>
      <w:r>
        <w:rPr>
          <w:rFonts w:hint="eastAsia" w:ascii="宋体" w:hAnsi="宋体"/>
          <w:color w:val="auto"/>
          <w:sz w:val="24"/>
          <w:highlight w:val="none"/>
        </w:rPr>
        <w:t xml:space="preserve">□</w:t>
      </w:r>
      <w:r>
        <w:rPr>
          <w:rFonts w:ascii="宋体" w:hAnsi="宋体"/>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2.2 其它落实政府采购政策的资格要求（如有）：</w:t>
      </w:r>
      <w:r>
        <w:rPr>
          <w:rFonts w:hint="eastAsia" w:ascii="宋体" w:hAnsi="宋体"/>
          <w:color w:val="auto"/>
          <w:sz w:val="24"/>
          <w:highlight w:val="none"/>
        </w:rPr>
        <w:t xml:space="preserve">无。</w:t>
      </w:r>
      <w:r/>
    </w:p>
    <w:p>
      <w:pPr>
        <w:ind w:firstLine="480"/>
        <w:spacing w:line="360" w:lineRule="auto"/>
        <w:rPr>
          <w:rFonts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i/>
          <w:color w:val="auto"/>
          <w:sz w:val="24"/>
          <w:highlight w:val="none"/>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color w:val="auto"/>
          <w:sz w:val="24"/>
          <w:highlight w:val="none"/>
        </w:rPr>
      </w:pPr>
      <w:r>
        <w:rPr>
          <w:rFonts w:ascii="宋体" w:hAnsi="宋体"/>
          <w:color w:val="auto"/>
          <w:sz w:val="24"/>
          <w:highlight w:val="none"/>
        </w:rPr>
        <w:t xml:space="preserve">3.3其他特定资格要求：</w:t>
      </w:r>
      <w:bookmarkEnd w:id="21"/>
      <w:r/>
      <w:bookmarkEnd w:id="22"/>
      <w:r/>
      <w:bookmarkStart w:id="23" w:name="_Toc35393623"/>
      <w:r/>
      <w:bookmarkStart w:id="24" w:name="_Toc35393792"/>
      <w:r>
        <w:rPr>
          <w:rFonts w:hint="eastAsia"/>
          <w:color w:val="auto"/>
          <w:sz w:val="24"/>
          <w:highlight w:val="none"/>
        </w:rPr>
        <w:t xml:space="preserve">投标人须具有</w:t>
      </w:r>
      <w:bookmarkStart w:id="25" w:name="_Hlk133239825"/>
      <w:r>
        <w:rPr>
          <w:rFonts w:hint="eastAsia"/>
          <w:color w:val="auto"/>
          <w:sz w:val="24"/>
          <w:highlight w:val="none"/>
        </w:rPr>
        <w:t xml:space="preserve">有效的《食品经营许可证》</w:t>
      </w:r>
      <w:bookmarkEnd w:id="25"/>
      <w:r>
        <w:rPr>
          <w:rFonts w:hint="eastAsia"/>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r>
      <w:r/>
    </w:p>
    <w:p>
      <w:pPr>
        <w:pStyle w:val="860"/>
        <w:jc w:val="left"/>
        <w:spacing w:before="0"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三、获取招标文件</w:t>
      </w:r>
      <w:bookmarkEnd w:id="23"/>
      <w:r/>
      <w:bookmarkEnd w:id="24"/>
      <w:r/>
      <w:r/>
    </w:p>
    <w:p>
      <w:pPr>
        <w:ind w:firstLine="480"/>
        <w:spacing w:line="360" w:lineRule="auto"/>
        <w:rPr>
          <w:rFonts w:ascii="宋体" w:hAnsi="宋体"/>
          <w:color w:val="auto"/>
          <w:sz w:val="24"/>
          <w:highlight w:val="none"/>
          <w:lang w:bidi="ar"/>
        </w:rPr>
      </w:pPr>
      <w:r>
        <w:rPr>
          <w:rFonts w:ascii="宋体" w:hAnsi="宋体"/>
          <w:color w:val="auto"/>
          <w:sz w:val="24"/>
          <w:highlight w:val="none"/>
          <w:lang w:bidi="ar"/>
        </w:rPr>
        <w:t xml:space="preserve">1.时间：</w:t>
      </w:r>
      <w:r>
        <w:rPr>
          <w:rFonts w:hint="eastAsia" w:ascii="宋体" w:hAnsi="宋体"/>
          <w:color w:val="auto"/>
          <w:sz w:val="24"/>
          <w:highlight w:val="none"/>
          <w:lang w:bidi="ar"/>
        </w:rPr>
        <w:t xml:space="preserve">自招标文件公告发布之日起5个工作日。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ind w:left="84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r>
      <w:r/>
    </w:p>
    <w:p>
      <w:pPr>
        <w:pStyle w:val="860"/>
        <w:jc w:val="left"/>
        <w:spacing w:before="0" w:line="360" w:lineRule="auto"/>
        <w:widowControl/>
        <w:rPr>
          <w:rFonts w:ascii="宋体" w:hAnsi="宋体" w:eastAsia="宋体"/>
          <w:color w:val="auto"/>
          <w:sz w:val="24"/>
          <w:szCs w:val="24"/>
          <w:highlight w:val="none"/>
        </w:rPr>
      </w:pPr>
      <w:r/>
      <w:bookmarkStart w:id="26" w:name="_Toc28359082"/>
      <w:r/>
      <w:bookmarkStart w:id="27" w:name="_Toc28359005"/>
      <w:r/>
      <w:bookmarkStart w:id="28" w:name="_Toc35393624"/>
      <w:r/>
      <w:bookmarkStart w:id="29" w:name="_Toc35393793"/>
      <w:r>
        <w:rPr>
          <w:rFonts w:ascii="宋体" w:hAnsi="宋体" w:eastAsia="宋体"/>
          <w:color w:val="auto"/>
          <w:sz w:val="24"/>
          <w:szCs w:val="24"/>
          <w:highlight w:val="none"/>
        </w:rPr>
        <w:t xml:space="preserve">四、提交投标文件</w:t>
      </w:r>
      <w:bookmarkEnd w:id="26"/>
      <w:r/>
      <w:bookmarkEnd w:id="27"/>
      <w:r>
        <w:rPr>
          <w:rFonts w:ascii="宋体" w:hAnsi="宋体" w:eastAsia="宋体"/>
          <w:color w:val="auto"/>
          <w:sz w:val="24"/>
          <w:szCs w:val="24"/>
          <w:highlight w:val="none"/>
        </w:rPr>
        <w:t xml:space="preserve">截止时间、开标时间和地点</w:t>
      </w:r>
      <w:bookmarkEnd w:id="28"/>
      <w:r/>
      <w:bookmarkEnd w:id="29"/>
      <w:r/>
      <w:r/>
    </w:p>
    <w:p>
      <w:pPr>
        <w:ind w:firstLine="480"/>
        <w:spacing w:line="360" w:lineRule="auto"/>
        <w:rPr>
          <w:rFonts w:ascii="宋体" w:hAnsi="宋体"/>
          <w:bCs/>
          <w:color w:val="auto"/>
          <w:sz w:val="24"/>
          <w:highlight w:val="none"/>
          <w:u w:val="single"/>
        </w:rPr>
      </w:pPr>
      <w:r>
        <w:rPr>
          <w:rFonts w:ascii="宋体" w:hAnsi="宋体"/>
          <w:color w:val="auto"/>
          <w:sz w:val="24"/>
          <w:highlight w:val="none"/>
          <w:lang w:bidi="ar"/>
        </w:rPr>
        <w:t xml:space="preserve">投标截止时间、开标时间：</w:t>
      </w:r>
      <w:r>
        <w:rPr>
          <w:rFonts w:hint="eastAsia" w:ascii="宋体" w:hAnsi="宋体" w:cs="宋体"/>
          <w:color w:val="auto"/>
          <w:sz w:val="24"/>
          <w:highlight w:val="none"/>
        </w:rPr>
        <w:t xml:space="preserve">2026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17</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 14</w:t>
      </w:r>
      <w:r>
        <w:rPr>
          <w:rFonts w:hint="eastAsia" w:ascii="宋体" w:hAnsi="宋体"/>
          <w:color w:val="auto"/>
          <w:sz w:val="24"/>
          <w:highlight w:val="none"/>
          <w:lang w:bidi="ar"/>
        </w:rPr>
        <w:t xml:space="preserve">点</w:t>
      </w:r>
      <w:r>
        <w:rPr>
          <w:rFonts w:hint="eastAsia" w:ascii="宋体" w:hAnsi="宋体"/>
          <w:color w:val="auto"/>
          <w:sz w:val="24"/>
          <w:highlight w:val="none"/>
          <w:lang w:val="en-US" w:eastAsia="zh-CN" w:bidi="ar"/>
        </w:rPr>
        <w:t xml:space="preserve">00</w:t>
      </w:r>
      <w:r>
        <w:rPr>
          <w:rFonts w:hint="eastAsia" w:ascii="宋体" w:hAnsi="宋体"/>
          <w:color w:val="auto"/>
          <w:sz w:val="24"/>
          <w:highlight w:val="none"/>
          <w:lang w:bidi="ar"/>
        </w:rPr>
        <w:t xml:space="preserve">分（北京时间）。</w:t>
      </w:r>
      <w:r/>
    </w:p>
    <w:p>
      <w:pPr>
        <w:ind w:firstLine="480"/>
        <w:spacing w:line="360" w:lineRule="auto"/>
        <w:rPr>
          <w:rFonts w:ascii="宋体" w:hAnsi="宋体"/>
          <w:color w:val="auto"/>
          <w:sz w:val="24"/>
          <w:highlight w:val="none"/>
          <w:lang w:val="zh-TW" w:bidi="ar"/>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w:t>
      </w:r>
      <w:r>
        <w:rPr>
          <w:rFonts w:hint="eastAsia"/>
          <w:color w:val="auto"/>
          <w:sz w:val="24"/>
          <w:highlight w:val="none"/>
          <w:u w:val="single"/>
        </w:rPr>
        <w:t xml:space="preserve">“苏采云”政府采购一体化平台投标人端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ind w:firstLine="480"/>
        <w:spacing w:line="360" w:lineRule="auto"/>
        <w:rPr>
          <w:rFonts w:ascii="宋体" w:hAnsi="宋体"/>
          <w:bCs/>
          <w:color w:val="auto"/>
          <w:sz w:val="24"/>
          <w:highlight w:val="none"/>
          <w:u w:val="single"/>
        </w:rPr>
      </w:pPr>
      <w:r>
        <w:rPr>
          <w:rFonts w:ascii="宋体" w:hAnsi="宋体"/>
          <w:bCs/>
          <w:color w:val="auto"/>
          <w:sz w:val="24"/>
          <w:highlight w:val="none"/>
          <w:u w:val="single"/>
        </w:rPr>
      </w:r>
      <w:r/>
    </w:p>
    <w:p>
      <w:pPr>
        <w:pStyle w:val="860"/>
        <w:jc w:val="left"/>
        <w:spacing w:before="0" w:line="360" w:lineRule="auto"/>
        <w:rPr>
          <w:rFonts w:ascii="宋体" w:hAnsi="宋体" w:eastAsia="宋体"/>
          <w:color w:val="auto"/>
          <w:sz w:val="24"/>
          <w:szCs w:val="24"/>
          <w:highlight w:val="none"/>
        </w:rPr>
      </w:pPr>
      <w:r/>
      <w:bookmarkStart w:id="30" w:name="_Toc35393625"/>
      <w:r/>
      <w:bookmarkStart w:id="31" w:name="_Toc28359084"/>
      <w:r/>
      <w:bookmarkStart w:id="32" w:name="_Toc28359007"/>
      <w:r/>
      <w:bookmarkStart w:id="33" w:name="_Toc35393794"/>
      <w:r>
        <w:rPr>
          <w:rFonts w:ascii="宋体" w:hAnsi="宋体" w:eastAsia="宋体"/>
          <w:color w:val="auto"/>
          <w:sz w:val="24"/>
          <w:szCs w:val="24"/>
          <w:highlight w:val="none"/>
        </w:rPr>
        <w:t xml:space="preserve">五、公告期限</w:t>
      </w:r>
      <w:bookmarkEnd w:id="30"/>
      <w:r/>
      <w:bookmarkEnd w:id="31"/>
      <w:r/>
      <w:bookmarkEnd w:id="32"/>
      <w:r/>
      <w:bookmarkEnd w:id="33"/>
      <w:r/>
      <w:r/>
    </w:p>
    <w:p>
      <w:pPr>
        <w:ind w:firstLine="48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860"/>
        <w:jc w:val="left"/>
        <w:spacing w:before="0" w:line="360" w:lineRule="auto"/>
        <w:rPr>
          <w:rFonts w:ascii="宋体" w:hAnsi="宋体" w:eastAsia="宋体"/>
          <w:color w:val="auto"/>
          <w:sz w:val="24"/>
          <w:szCs w:val="24"/>
          <w:highlight w:val="none"/>
        </w:rPr>
      </w:pPr>
      <w:r/>
      <w:bookmarkStart w:id="34" w:name="_Toc35393626"/>
      <w:r/>
      <w:bookmarkStart w:id="35" w:name="_Toc35393795"/>
      <w:r>
        <w:rPr>
          <w:rFonts w:ascii="宋体" w:hAnsi="宋体" w:eastAsia="宋体"/>
          <w:color w:val="auto"/>
          <w:sz w:val="24"/>
          <w:szCs w:val="24"/>
          <w:highlight w:val="none"/>
        </w:rPr>
        <w:t xml:space="preserve">六、其他补充事宜</w:t>
      </w:r>
      <w:bookmarkEnd w:id="34"/>
      <w:r/>
      <w:bookmarkEnd w:id="35"/>
      <w:r/>
      <w:r/>
    </w:p>
    <w:p>
      <w:pPr>
        <w:ind w:firstLine="480"/>
        <w:spacing w:line="360" w:lineRule="auto"/>
        <w:rPr>
          <w:rFonts w:ascii="宋体" w:hAnsi="宋体"/>
          <w:color w:val="auto"/>
          <w:sz w:val="24"/>
          <w:highlight w:val="none"/>
          <w:lang w:val="zh-TW" w:bidi="ar"/>
        </w:rPr>
      </w:pPr>
      <w:r/>
      <w:bookmarkStart w:id="36" w:name="_Toc35393796"/>
      <w:r/>
      <w:bookmarkStart w:id="37" w:name="_Toc35393627"/>
      <w:r/>
      <w:bookmarkStart w:id="38" w:name="_Toc28359085"/>
      <w:r/>
      <w:bookmarkStart w:id="39" w:name="_Toc28359008"/>
      <w:r>
        <w:rPr>
          <w:rFonts w:hint="eastAsia" w:ascii="宋体" w:hAnsi="宋体"/>
          <w:color w:val="auto"/>
          <w:sz w:val="24"/>
          <w:highlight w:val="none"/>
          <w:lang w:val="zh-TW" w:bidi="ar"/>
        </w:rPr>
        <w:t xml:space="preserve">1.本项目需要落实的政府采购政策：无。 </w:t>
      </w:r>
      <w:r/>
    </w:p>
    <w:p>
      <w:pPr>
        <w:ind w:firstLine="480"/>
        <w:spacing w:line="360" w:lineRule="auto"/>
        <w:rPr>
          <w:color w:val="auto"/>
          <w:sz w:val="24"/>
          <w:highlight w:val="none"/>
          <w:lang w:bidi="ar"/>
        </w:rPr>
      </w:pPr>
      <w:r>
        <w:rPr>
          <w:color w:val="auto"/>
          <w:sz w:val="24"/>
          <w:highlight w:val="none"/>
          <w:lang w:bidi="ar"/>
        </w:rPr>
        <w:t xml:space="preserve">2.</w:t>
      </w:r>
      <w:r>
        <w:rPr>
          <w:rFonts w:hint="eastAsia"/>
          <w:color w:val="auto"/>
          <w:sz w:val="24"/>
          <w:highlight w:val="none"/>
          <w:lang w:bidi="ar"/>
        </w:rPr>
        <w:t xml:space="preserve">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spacing w:line="360" w:lineRule="auto"/>
        <w:rPr>
          <w:color w:val="auto"/>
          <w:sz w:val="24"/>
          <w:highlight w:val="none"/>
          <w:lang w:eastAsia="zh-TW"/>
        </w:rPr>
      </w:pPr>
      <w:r>
        <w:rPr>
          <w:rFonts w:hint="eastAsia"/>
          <w:color w:val="auto"/>
          <w:sz w:val="24"/>
          <w:highlight w:val="none"/>
          <w:lang w:bidi="ar"/>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TW" w:bidi="ar"/>
        </w:rPr>
        <w:t xml:space="preserve">3</w:t>
      </w:r>
      <w:r>
        <w:rPr>
          <w:rFonts w:hint="eastAsia" w:ascii="宋体" w:hAnsi="宋体"/>
          <w:color w:val="auto"/>
          <w:sz w:val="24"/>
          <w:highlight w:val="none"/>
          <w:lang w:val="zh-TW" w:bidi="ar"/>
        </w:rPr>
        <w:t xml:space="preserve">.关于常州市中小企业政府采购信用融资：</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860"/>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七、对本次招标提出询问，请按以下方式联系。</w:t>
      </w:r>
      <w:bookmarkEnd w:id="36"/>
      <w:r/>
      <w:bookmarkEnd w:id="37"/>
      <w:r/>
      <w:bookmarkEnd w:id="38"/>
      <w:r/>
      <w:bookmarkEnd w:id="39"/>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1.采购人信息</w:t>
      </w:r>
      <w:r/>
    </w:p>
    <w:p>
      <w:pPr>
        <w:ind w:left="1079" w:hanging="300"/>
        <w:jc w:val="left"/>
        <w:spacing w:line="360" w:lineRule="auto"/>
        <w:rPr>
          <w:rFonts w:hint="eastAsia" w:ascii="宋体" w:hAnsi="宋体" w:eastAsia="宋体"/>
          <w:color w:val="auto"/>
          <w:sz w:val="24"/>
          <w:highlight w:val="none"/>
          <w:lang w:eastAsia="zh-CN"/>
        </w:rPr>
      </w:pPr>
      <w:r/>
      <w:bookmarkStart w:id="40" w:name="_Toc28359086"/>
      <w:r/>
      <w:bookmarkStart w:id="41" w:name="_Toc28359009"/>
      <w:r>
        <w:rPr>
          <w:rFonts w:hint="eastAsia" w:ascii="宋体" w:hAnsi="宋体"/>
          <w:color w:val="auto"/>
          <w:sz w:val="24"/>
          <w:highlight w:val="none"/>
        </w:rPr>
        <w:t xml:space="preserve">名  称：</w:t>
      </w:r>
      <w:r>
        <w:rPr>
          <w:rFonts w:hint="eastAsia" w:ascii="宋体" w:hAnsi="宋体"/>
          <w:color w:val="auto"/>
          <w:sz w:val="24"/>
          <w:highlight w:val="none"/>
          <w:lang w:eastAsia="zh-CN"/>
        </w:rPr>
        <w:t xml:space="preserve">常州市第二人民医院</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  址：常州市武进区滆湖中路68号</w:t>
      </w:r>
      <w:r/>
    </w:p>
    <w:p>
      <w:pPr>
        <w:ind w:left="1076" w:hanging="297"/>
        <w:jc w:val="left"/>
        <w:spacing w:line="360" w:lineRule="auto"/>
        <w:rPr>
          <w:rFonts w:hint="eastAsia"/>
          <w:color w:val="auto"/>
          <w:sz w:val="24"/>
          <w:highlight w:val="none"/>
        </w:rPr>
      </w:pPr>
      <w:r>
        <w:rPr>
          <w:rFonts w:hint="eastAsia"/>
          <w:color w:val="auto"/>
          <w:sz w:val="24"/>
          <w:highlight w:val="none"/>
        </w:rPr>
        <w:t xml:space="preserve">联系人：夏先生 </w:t>
      </w:r>
      <w:r/>
    </w:p>
    <w:p>
      <w:pPr>
        <w:ind w:left="1076" w:hanging="297"/>
        <w:jc w:val="left"/>
        <w:spacing w:line="360" w:lineRule="auto"/>
        <w:rPr>
          <w:color w:val="auto"/>
          <w:sz w:val="24"/>
          <w:highlight w:val="none"/>
        </w:rPr>
      </w:pPr>
      <w:r>
        <w:rPr>
          <w:rFonts w:hint="eastAsia"/>
          <w:color w:val="auto"/>
          <w:sz w:val="24"/>
          <w:highlight w:val="none"/>
        </w:rPr>
        <w:t xml:space="preserve">联系电话：</w:t>
      </w:r>
      <w:r>
        <w:rPr>
          <w:color w:val="auto"/>
          <w:sz w:val="24"/>
          <w:highlight w:val="none"/>
        </w:rPr>
        <w:t xml:space="preserve">0519-88065616</w:t>
      </w:r>
      <w:r>
        <w:rPr>
          <w:rFonts w:hint="eastAsia"/>
          <w:color w:val="auto"/>
          <w:sz w:val="24"/>
          <w:highlight w:val="none"/>
        </w:rPr>
        <w:t xml:space="preserve"> </w:t>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2.采购代理机构信息</w:t>
      </w:r>
      <w:bookmarkEnd w:id="40"/>
      <w:r/>
      <w:bookmarkEnd w:id="41"/>
      <w:r/>
      <w:r/>
    </w:p>
    <w:p>
      <w:pPr>
        <w:ind w:left="1079" w:hanging="300"/>
        <w:jc w:val="left"/>
        <w:spacing w:line="360" w:lineRule="auto"/>
        <w:rPr>
          <w:rFonts w:ascii="宋体" w:hAnsi="宋体"/>
          <w:color w:val="auto"/>
          <w:sz w:val="24"/>
          <w:highlight w:val="none"/>
        </w:rPr>
      </w:pPr>
      <w:r/>
      <w:bookmarkStart w:id="42" w:name="_Toc28359087"/>
      <w:r/>
      <w:bookmarkStart w:id="43" w:name="_Toc28359010"/>
      <w:r>
        <w:rPr>
          <w:rFonts w:hint="eastAsia" w:ascii="宋体" w:hAnsi="宋体"/>
          <w:color w:val="auto"/>
          <w:sz w:val="24"/>
          <w:highlight w:val="none"/>
        </w:rPr>
        <w:t xml:space="preserve">名  称：常州盈泰招标有限公司</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联系方式：0519-89853339 </w:t>
      </w:r>
      <w:r/>
    </w:p>
    <w:p>
      <w:pPr>
        <w:ind w:firstLine="723"/>
        <w:spacing w:line="360" w:lineRule="auto"/>
        <w:rPr>
          <w:rFonts w:ascii="宋体" w:hAnsi="宋体"/>
          <w:b/>
          <w:color w:val="auto"/>
          <w:sz w:val="24"/>
          <w:highlight w:val="none"/>
          <w:u w:val="single"/>
        </w:rPr>
      </w:pPr>
      <w:r>
        <w:rPr>
          <w:rFonts w:ascii="宋体" w:hAnsi="宋体"/>
          <w:b/>
          <w:color w:val="auto"/>
          <w:sz w:val="24"/>
          <w:highlight w:val="none"/>
        </w:rPr>
        <w:t xml:space="preserve">3.项目联系方式</w:t>
      </w:r>
      <w:bookmarkEnd w:id="42"/>
      <w:r/>
      <w:bookmarkEnd w:id="43"/>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项目联系人：王女士</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电  话：0519-89853339</w:t>
      </w:r>
      <w:r/>
    </w:p>
    <w:p>
      <w:pPr>
        <w:ind w:left="1080" w:hanging="301"/>
        <w:jc w:val="left"/>
        <w:spacing w:line="360" w:lineRule="auto"/>
        <w:rPr>
          <w:rFonts w:ascii="宋体" w:hAnsi="宋体"/>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以上个人信息，由于工作需要经机构或本人同意对外公布。</w:t>
      </w:r>
      <w:r/>
    </w:p>
    <w:p>
      <w:pPr>
        <w:jc w:val="center"/>
        <w:spacing w:line="360" w:lineRule="auto"/>
        <w:rPr>
          <w:rFonts w:ascii="宋体" w:hAnsi="宋体"/>
          <w:b/>
          <w:color w:val="auto"/>
          <w:sz w:val="32"/>
          <w:szCs w:val="32"/>
          <w:highlight w:val="none"/>
        </w:rPr>
        <w:outlineLvl w:val="0"/>
      </w:pPr>
      <w:r/>
      <w:bookmarkStart w:id="44" w:name="_Toc512937850"/>
      <w:r/>
      <w:bookmarkStart w:id="45" w:name="_Toc195842950"/>
      <w:r/>
      <w:bookmarkStart w:id="46" w:name="_Toc127161488"/>
      <w:r/>
      <w:bookmarkStart w:id="47" w:name="_Toc305158854"/>
      <w:r/>
      <w:bookmarkStart w:id="48" w:name="_Toc226965856"/>
      <w:r/>
      <w:bookmarkStart w:id="49" w:name="_Toc265228423"/>
      <w:r/>
      <w:bookmarkStart w:id="50" w:name="_Toc127151777"/>
      <w:r/>
      <w:bookmarkStart w:id="51" w:name="_Toc305158928"/>
      <w:r/>
      <w:bookmarkStart w:id="52" w:name="_Toc150774783"/>
      <w:r/>
      <w:bookmarkStart w:id="53" w:name="_Toc353873938"/>
      <w:r/>
      <w:bookmarkStart w:id="54" w:name="_Toc264969275"/>
      <w:r/>
      <w:bookmarkStart w:id="55" w:name="_Toc353825548"/>
      <w:r>
        <w:rPr>
          <w:rFonts w:ascii="宋体" w:hAnsi="宋体"/>
          <w:b/>
          <w:color w:val="auto"/>
          <w:sz w:val="36"/>
          <w:szCs w:val="36"/>
          <w:highlight w:val="none"/>
        </w:rPr>
        <w:br w:type="page" w:clear="all"/>
      </w:r>
      <w:bookmarkStart w:id="56" w:name="_Toc12395"/>
      <w:r>
        <w:rPr>
          <w:rFonts w:ascii="宋体" w:hAnsi="宋体"/>
          <w:b/>
          <w:color w:val="auto"/>
          <w:sz w:val="36"/>
          <w:szCs w:val="36"/>
          <w:highlight w:val="none"/>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pStyle w:val="860"/>
        <w:spacing w:before="0" w:line="360" w:lineRule="auto"/>
        <w:tabs>
          <w:tab w:val="center" w:pos="4592" w:leader="none"/>
          <w:tab w:val="left" w:pos="7860" w:leader="none"/>
        </w:tabs>
        <w:rPr>
          <w:rFonts w:ascii="宋体" w:hAnsi="宋体" w:eastAsia="宋体"/>
          <w:color w:val="auto"/>
          <w:sz w:val="28"/>
          <w:highlight w:val="none"/>
        </w:rPr>
      </w:pPr>
      <w:r/>
      <w:bookmarkStart w:id="57" w:name="_Toc164608633"/>
      <w:r/>
      <w:bookmarkStart w:id="58" w:name="_Toc150774724"/>
      <w:r/>
      <w:bookmarkStart w:id="59" w:name="_Toc151193689"/>
      <w:r/>
      <w:bookmarkStart w:id="60" w:name="_Toc151193761"/>
      <w:r/>
      <w:bookmarkStart w:id="61" w:name="_Toc226965709"/>
      <w:r/>
      <w:bookmarkStart w:id="62" w:name="_Toc195842884"/>
      <w:r/>
      <w:bookmarkStart w:id="63" w:name="_Toc164351613"/>
      <w:r/>
      <w:bookmarkStart w:id="64" w:name="_Toc150509270"/>
      <w:r/>
      <w:bookmarkStart w:id="65" w:name="_Toc151193617"/>
      <w:r/>
      <w:bookmarkStart w:id="66" w:name="_Toc226337215"/>
      <w:r/>
      <w:bookmarkStart w:id="67" w:name="_Toc520356144"/>
      <w:r/>
      <w:bookmarkStart w:id="68" w:name="_Toc164229214"/>
      <w:r/>
      <w:bookmarkStart w:id="69" w:name="_Toc150774619"/>
      <w:r/>
      <w:bookmarkStart w:id="70" w:name="_Toc226965792"/>
      <w:r/>
      <w:bookmarkStart w:id="71" w:name="_Toc127161433"/>
      <w:r/>
      <w:bookmarkStart w:id="72" w:name="_Toc151193833"/>
      <w:r/>
      <w:bookmarkStart w:id="73" w:name="_Toc127151519"/>
      <w:r/>
      <w:bookmarkStart w:id="74" w:name="_Toc164229360"/>
      <w:r/>
      <w:bookmarkStart w:id="75" w:name="_Toc142311021"/>
      <w:r/>
      <w:bookmarkStart w:id="76" w:name="_Toc149720812"/>
      <w:r/>
      <w:bookmarkStart w:id="77" w:name="_Toc151193907"/>
      <w:r/>
      <w:bookmarkStart w:id="78" w:name="_Toc127151720"/>
      <w:r/>
      <w:bookmarkStart w:id="79" w:name="_Toc226309763"/>
      <w:r/>
      <w:bookmarkStart w:id="80" w:name="_Toc164608788"/>
      <w:r/>
      <w:bookmarkStart w:id="81" w:name="_Toc151190146"/>
      <w:r/>
      <w:bookmarkStart w:id="82" w:name="_Toc150480757"/>
      <w:r>
        <w:rPr>
          <w:rFonts w:ascii="宋体" w:hAnsi="宋体" w:eastAsia="宋体"/>
          <w:color w:val="auto"/>
          <w:sz w:val="28"/>
          <w:highlight w:val="none"/>
        </w:rPr>
        <w:t xml:space="preserve">投标人须知资料表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标记“</w:t>
      </w:r>
      <w:r>
        <w:rPr>
          <w:rFonts w:ascii="宋体" w:hAnsi="宋体"/>
          <w:b/>
          <w:color w:val="auto"/>
          <w:sz w:val="24"/>
          <w:highlight w:val="none"/>
        </w:rPr>
        <w:t xml:space="preserve">■</w:t>
      </w:r>
      <w:r>
        <w:rPr>
          <w:rFonts w:ascii="宋体" w:hAnsi="宋体"/>
          <w:color w:val="auto"/>
          <w:sz w:val="24"/>
          <w:highlight w:val="none"/>
        </w:rPr>
        <w:t xml:space="preserve">”的选项意为适用于本项目，标记“□”的选项意为不适用于本项目。</w:t>
      </w:r>
      <w:r/>
    </w:p>
    <w:tbl>
      <w:tblPr>
        <w:tblStyle w:val="86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highlight w:val="none"/>
              </w:rPr>
            </w:pPr>
            <w:r>
              <w:rPr>
                <w:rFonts w:ascii="宋体" w:hAnsi="宋体"/>
                <w:b/>
                <w:color w:val="auto"/>
                <w:sz w:val="24"/>
                <w:highlight w:val="none"/>
              </w:rPr>
              <w:t xml:space="preserve">条款号</w:t>
            </w:r>
            <w:r/>
          </w:p>
        </w:tc>
        <w:tc>
          <w:tcPr>
            <w:tcW w:w="1701"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条目</w:t>
            </w:r>
            <w:r/>
          </w:p>
        </w:tc>
        <w:tc>
          <w:tcPr>
            <w:tcW w:w="7540"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内容</w:t>
            </w:r>
            <w:r/>
          </w:p>
        </w:tc>
      </w:tr>
      <w:tr>
        <w:trPr>
          <w:jc w:val="center"/>
          <w:trHeight w:val="20"/>
        </w:trPr>
        <w:tc>
          <w:tcPr>
            <w:tcW w:w="988" w:type="dxa"/>
            <w:vAlign w:val="center"/>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服务</w:t>
            </w:r>
            <w:r/>
          </w:p>
          <w:p>
            <w:pPr>
              <w:jc w:val="left"/>
              <w:rPr>
                <w:rFonts w:ascii="宋体" w:hAnsi="宋体"/>
                <w:color w:val="auto"/>
                <w:sz w:val="24"/>
                <w:highlight w:val="none"/>
                <w:u w:val="single"/>
              </w:rPr>
            </w:pP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ascii="宋体" w:hAnsi="宋体"/>
                <w:color w:val="auto"/>
                <w:sz w:val="24"/>
                <w:highlight w:val="none"/>
              </w:rPr>
            </w:pPr>
            <w:r>
              <w:rPr>
                <w:rFonts w:ascii="宋体" w:hAnsi="宋体"/>
                <w:color w:val="auto"/>
                <w:sz w:val="24"/>
                <w:highlight w:val="none"/>
              </w:rPr>
              <w:t xml:space="preserve">□是</w:t>
            </w:r>
            <w:r/>
          </w:p>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883"/>
              <w:rPr>
                <w:rFonts w:hint="default" w:hAnsi="宋体"/>
                <w:color w:val="auto"/>
                <w:sz w:val="24"/>
                <w:szCs w:val="24"/>
                <w:highlight w:val="none"/>
              </w:rPr>
            </w:pPr>
            <w:r>
              <w:rPr>
                <w:rFonts w:hAnsi="宋体"/>
                <w:b/>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包不适用。</w:t>
            </w:r>
            <w:r/>
          </w:p>
          <w:p>
            <w:pPr>
              <w:pStyle w:val="883"/>
              <w:rPr>
                <w:rFonts w:hint="default"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ascii="宋体" w:hAnsi="宋体"/>
                <w:color w:val="auto"/>
                <w:sz w:val="24"/>
                <w:highlight w:val="none"/>
              </w:rPr>
            </w:pPr>
            <w:r>
              <w:rPr>
                <w:rFonts w:hint="eastAsia" w:hAnsi="宋体"/>
                <w:color w:val="auto"/>
                <w:sz w:val="24"/>
                <w:highlight w:val="none"/>
              </w:rPr>
              <w:t xml:space="preserve">□</w:t>
            </w:r>
            <w:r>
              <w:rPr>
                <w:rFonts w:ascii="宋体" w:hAnsi="宋体"/>
                <w:color w:val="auto"/>
                <w:sz w:val="24"/>
                <w:highlight w:val="none"/>
              </w:rPr>
              <w:t xml:space="preserve">本项目</w:t>
            </w:r>
            <w:r>
              <w:rPr>
                <w:rFonts w:hint="eastAsia" w:ascii="宋体" w:hAnsi="宋体"/>
                <w:color w:val="auto"/>
                <w:sz w:val="24"/>
                <w:highlight w:val="none"/>
                <w:u w:val="single"/>
              </w:rPr>
              <w:t xml:space="preserve"> 1 </w:t>
            </w:r>
            <w:r>
              <w:rPr>
                <w:rFonts w:ascii="宋体" w:hAnsi="宋体"/>
                <w:color w:val="auto"/>
                <w:sz w:val="24"/>
                <w:highlight w:val="none"/>
              </w:rPr>
              <w:t xml:space="preserve">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883"/>
              <w:rPr>
                <w:rFonts w:hint="default"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rPr>
                <w:rFonts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投标样品递交：</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ascii="宋体" w:hAnsi="宋体"/>
                <w:color w:val="auto"/>
                <w:sz w:val="24"/>
                <w:highlight w:val="none"/>
              </w:rPr>
            </w:pPr>
            <w:r>
              <w:rPr>
                <w:rFonts w:ascii="宋体" w:hAnsi="宋体"/>
                <w:color w:val="auto"/>
                <w:sz w:val="24"/>
                <w:highlight w:val="none"/>
              </w:rPr>
              <w:t xml:space="preserve">□需要，具体要求如下：</w:t>
            </w:r>
            <w:r/>
          </w:p>
          <w:p>
            <w:pPr>
              <w:jc w:val="left"/>
              <w:rPr>
                <w:rFonts w:ascii="宋体" w:hAnsi="宋体"/>
                <w:color w:val="auto"/>
                <w:sz w:val="24"/>
                <w:highlight w:val="none"/>
                <w:u w:val="single"/>
              </w:rPr>
            </w:pPr>
            <w:r>
              <w:rPr>
                <w:rFonts w:ascii="宋体" w:hAnsi="宋体"/>
                <w:color w:val="auto"/>
                <w:sz w:val="24"/>
                <w:highlight w:val="none"/>
              </w:rPr>
              <w:t xml:space="preserve">（1）样品制作的标准和要求：_________；</w:t>
            </w:r>
            <w:r/>
          </w:p>
          <w:p>
            <w:pPr>
              <w:jc w:val="left"/>
              <w:rPr>
                <w:rFonts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ascii="宋体" w:hAnsi="宋体"/>
                <w:color w:val="auto"/>
                <w:sz w:val="24"/>
                <w:highlight w:val="none"/>
              </w:rPr>
            </w:pPr>
            <w:r>
              <w:rPr>
                <w:rFonts w:ascii="宋体" w:hAnsi="宋体"/>
                <w:color w:val="auto"/>
                <w:sz w:val="24"/>
                <w:highlight w:val="none"/>
              </w:rPr>
              <w:t xml:space="preserve">□不需要</w:t>
            </w:r>
            <w:r/>
          </w:p>
          <w:p>
            <w:pPr>
              <w:ind w:firstLine="600"/>
              <w:jc w:val="left"/>
              <w:rPr>
                <w:rFonts w:ascii="宋体" w:hAnsi="宋体"/>
                <w:color w:val="auto"/>
                <w:sz w:val="24"/>
                <w:highlight w:val="none"/>
              </w:rPr>
            </w:pPr>
            <w:r>
              <w:rPr>
                <w:rFonts w:ascii="宋体" w:hAnsi="宋体"/>
                <w:color w:val="auto"/>
                <w:sz w:val="24"/>
                <w:highlight w:val="none"/>
              </w:rPr>
              <w:t xml:space="preserve">□需要</w:t>
            </w:r>
            <w:r/>
          </w:p>
          <w:p>
            <w:pPr>
              <w:jc w:val="left"/>
              <w:rPr>
                <w:rFonts w:ascii="宋体" w:hAnsi="宋体"/>
                <w:color w:val="auto"/>
                <w:sz w:val="24"/>
                <w:highlight w:val="none"/>
              </w:rPr>
            </w:pPr>
            <w:r>
              <w:rPr>
                <w:rFonts w:ascii="宋体" w:hAnsi="宋体"/>
                <w:color w:val="auto"/>
                <w:sz w:val="24"/>
                <w:highlight w:val="none"/>
              </w:rPr>
              <w:t xml:space="preserve">（3）样品递交要求：_________；</w:t>
            </w:r>
            <w:r/>
          </w:p>
          <w:p>
            <w:pPr>
              <w:jc w:val="left"/>
              <w:rPr>
                <w:rFonts w:ascii="宋体" w:hAnsi="宋体"/>
                <w:color w:val="auto"/>
                <w:sz w:val="24"/>
                <w:highlight w:val="none"/>
              </w:rPr>
            </w:pPr>
            <w:r>
              <w:rPr>
                <w:rFonts w:ascii="宋体" w:hAnsi="宋体"/>
                <w:color w:val="auto"/>
                <w:sz w:val="24"/>
                <w:highlight w:val="none"/>
              </w:rPr>
              <w:t xml:space="preserve">（4）未中标人样品退还：_________；</w:t>
            </w:r>
            <w:r/>
          </w:p>
          <w:p>
            <w:pPr>
              <w:jc w:val="left"/>
              <w:rPr>
                <w:rFonts w:ascii="宋体" w:hAnsi="宋体"/>
                <w:color w:val="auto"/>
                <w:sz w:val="24"/>
                <w:highlight w:val="none"/>
                <w:u w:val="single"/>
              </w:rPr>
            </w:pPr>
            <w:r>
              <w:rPr>
                <w:rFonts w:ascii="宋体" w:hAnsi="宋体"/>
                <w:color w:val="auto"/>
                <w:sz w:val="24"/>
                <w:highlight w:val="none"/>
              </w:rPr>
              <w:t xml:space="preserve">（5）中标人样品保管、封存及退还：_________；</w:t>
            </w:r>
            <w:r/>
          </w:p>
          <w:p>
            <w:pPr>
              <w:jc w:val="left"/>
              <w:rPr>
                <w:rFonts w:ascii="宋体" w:hAnsi="宋体"/>
                <w:color w:val="auto"/>
                <w:sz w:val="24"/>
                <w:highlight w:val="none"/>
              </w:rPr>
            </w:pPr>
            <w:r>
              <w:rPr>
                <w:rFonts w:ascii="宋体" w:hAnsi="宋体"/>
                <w:color w:val="auto"/>
                <w:sz w:val="24"/>
                <w:highlight w:val="none"/>
              </w:rPr>
              <w:t xml:space="preserve">（6）其他要求（如有）：_________。</w:t>
            </w:r>
            <w:r/>
          </w:p>
        </w:tc>
      </w:tr>
      <w:tr>
        <w:trPr>
          <w:jc w:val="center"/>
          <w:trHeight w:val="234"/>
        </w:trPr>
        <w:tc>
          <w:tcPr>
            <w:tcW w:w="988" w:type="dxa"/>
            <w:vAlign w:val="center"/>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本项目采购标的对应的中小企业划分标准所属行业：</w:t>
            </w:r>
            <w:r>
              <w:rPr>
                <w:rFonts w:hint="eastAsia" w:ascii="宋体" w:hAnsi="宋体"/>
                <w:color w:val="auto"/>
                <w:sz w:val="24"/>
                <w:highlight w:val="none"/>
                <w:u w:val="singl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tc>
      </w:tr>
      <w:tr>
        <w:trPr>
          <w:jc w:val="center"/>
          <w:trHeight w:val="234"/>
        </w:trPr>
        <w:tc>
          <w:tcPr>
            <w:tcW w:w="988" w:type="dxa"/>
            <w:vAlign w:val="center"/>
            <w:textDirection w:val="lrTb"/>
            <w:noWrap w:val="false"/>
          </w:tcPr>
          <w:p>
            <w:pPr>
              <w:pStyle w:val="883"/>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5.8</w:t>
            </w:r>
            <w:r/>
          </w:p>
        </w:tc>
        <w:tc>
          <w:tcPr>
            <w:tcW w:w="1701" w:type="dxa"/>
            <w:vAlign w:val="center"/>
            <w:textDirection w:val="lrTb"/>
            <w:noWrap w:val="false"/>
          </w:tcPr>
          <w:p>
            <w:pPr>
              <w:jc w:val="center"/>
              <w:rPr>
                <w:rFonts w:ascii="宋体" w:hAnsi="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jc w:val="left"/>
              <w:rPr>
                <w:rFonts w:hint="eastAsia" w:ascii="宋体" w:hAnsi="宋体"/>
                <w:color w:val="auto"/>
                <w:sz w:val="24"/>
                <w:highlight w:val="none"/>
                <w:u w:val="singl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93"/>
        </w:trPr>
        <w:tc>
          <w:tcPr>
            <w:tcW w:w="988" w:type="dxa"/>
            <w:vAlign w:val="center"/>
            <w:textDirection w:val="lrTb"/>
            <w:noWrap w:val="false"/>
          </w:tcPr>
          <w:p>
            <w:pPr>
              <w:pStyle w:val="883"/>
              <w:jc w:val="center"/>
              <w:rPr>
                <w:rFonts w:hint="default"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ascii="宋体" w:hAnsi="宋体"/>
                <w:color w:val="auto"/>
                <w:sz w:val="24"/>
                <w:highlight w:val="none"/>
              </w:rPr>
            </w:pPr>
            <w:r>
              <w:rPr>
                <w:rFonts w:ascii="宋体" w:hAnsi="宋体"/>
                <w:color w:val="auto"/>
                <w:sz w:val="24"/>
                <w:highlight w:val="none"/>
              </w:rPr>
              <w:t xml:space="preserve">■无</w:t>
            </w:r>
            <w:r/>
          </w:p>
          <w:p>
            <w:pPr>
              <w:jc w:val="left"/>
              <w:rPr>
                <w:rFonts w:ascii="宋体" w:hAnsi="宋体"/>
                <w:color w:val="auto"/>
                <w:sz w:val="24"/>
                <w:highlight w:val="none"/>
              </w:rPr>
            </w:pPr>
            <w:r>
              <w:rPr>
                <w:rFonts w:ascii="宋体" w:hAnsi="宋体"/>
                <w:color w:val="auto"/>
                <w:sz w:val="24"/>
                <w:highlight w:val="none"/>
              </w:rPr>
              <w:t xml:space="preserve">□有，具体情形：_________；</w:t>
            </w:r>
            <w:r/>
          </w:p>
        </w:tc>
      </w:tr>
      <w:tr>
        <w:trPr>
          <w:jc w:val="center"/>
          <w:trHeight w:val="20"/>
        </w:trPr>
        <w:tc>
          <w:tcPr>
            <w:tcW w:w="988" w:type="dxa"/>
            <w:vAlign w:val="center"/>
            <w:textDirection w:val="lrTb"/>
            <w:noWrap w:val="false"/>
          </w:tcPr>
          <w:p>
            <w:pPr>
              <w:pStyle w:val="883"/>
              <w:jc w:val="center"/>
              <w:rPr>
                <w:rFonts w:hint="default"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免收</w:t>
            </w:r>
            <w:r/>
          </w:p>
        </w:tc>
      </w:tr>
      <w:tr>
        <w:trPr>
          <w:jc w:val="center"/>
          <w:trHeight w:val="20"/>
        </w:trPr>
        <w:tc>
          <w:tcPr>
            <w:tcW w:w="988" w:type="dxa"/>
            <w:vAlign w:val="center"/>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不允许</w:t>
            </w:r>
            <w:r/>
          </w:p>
          <w:p>
            <w:pPr>
              <w:jc w:val="left"/>
              <w:rPr>
                <w:rFonts w:ascii="宋体" w:hAnsi="宋体"/>
                <w:color w:val="auto"/>
                <w:sz w:val="24"/>
                <w:highlight w:val="none"/>
              </w:rPr>
            </w:pPr>
            <w:r>
              <w:rPr>
                <w:rFonts w:ascii="宋体" w:hAnsi="宋体"/>
                <w:color w:val="auto"/>
                <w:sz w:val="24"/>
                <w:highlight w:val="none"/>
              </w:rPr>
              <w:t xml:space="preserve">□允许，具体要求：</w:t>
            </w:r>
            <w:r/>
          </w:p>
          <w:p>
            <w:pPr>
              <w:jc w:val="left"/>
              <w:rPr>
                <w:rFonts w:ascii="宋体" w:hAnsi="宋体"/>
                <w:color w:val="auto"/>
                <w:sz w:val="24"/>
                <w:highlight w:val="none"/>
              </w:rPr>
            </w:pPr>
            <w:r>
              <w:rPr>
                <w:rFonts w:ascii="宋体" w:hAnsi="宋体"/>
                <w:color w:val="auto"/>
                <w:sz w:val="24"/>
                <w:highlight w:val="none"/>
              </w:rPr>
              <w:t xml:space="preserve">（1）可以分包履行的具体内容：_____；</w:t>
            </w:r>
            <w:r/>
          </w:p>
          <w:p>
            <w:pPr>
              <w:jc w:val="left"/>
              <w:rPr>
                <w:rFonts w:ascii="宋体" w:hAnsi="宋体"/>
                <w:color w:val="auto"/>
                <w:sz w:val="24"/>
                <w:highlight w:val="none"/>
              </w:rPr>
            </w:pPr>
            <w:r>
              <w:rPr>
                <w:rFonts w:ascii="宋体" w:hAnsi="宋体"/>
                <w:color w:val="auto"/>
                <w:sz w:val="24"/>
                <w:highlight w:val="none"/>
              </w:rPr>
              <w:t xml:space="preserve">（2）允许分包的金额或者比例：_____；</w:t>
            </w:r>
            <w:r/>
          </w:p>
          <w:p>
            <w:pPr>
              <w:jc w:val="left"/>
              <w:rPr>
                <w:rFonts w:ascii="宋体" w:hAnsi="宋体"/>
                <w:color w:val="auto"/>
                <w:sz w:val="24"/>
                <w:highlight w:val="none"/>
                <w:u w:val="single"/>
              </w:rPr>
            </w:pPr>
            <w:r>
              <w:rPr>
                <w:rFonts w:ascii="宋体" w:hAnsi="宋体"/>
                <w:color w:val="auto"/>
                <w:sz w:val="24"/>
                <w:highlight w:val="none"/>
              </w:rPr>
              <w:t xml:space="preserve">（3）其他要求：_____。</w:t>
            </w:r>
            <w:r/>
          </w:p>
        </w:tc>
      </w:tr>
      <w:tr>
        <w:trPr>
          <w:jc w:val="center"/>
          <w:trHeight w:val="20"/>
        </w:trPr>
        <w:tc>
          <w:tcPr>
            <w:tcW w:w="988" w:type="dxa"/>
            <w:vAlign w:val="center"/>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26.1.1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90"/>
        </w:trPr>
        <w:tc>
          <w:tcPr>
            <w:tcW w:w="988" w:type="dxa"/>
            <w:vAlign w:val="center"/>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接收询问和质疑的联系方式</w:t>
            </w:r>
            <w:r/>
          </w:p>
          <w:p>
            <w:pPr>
              <w:jc w:val="left"/>
              <w:rPr>
                <w:rFonts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83"/>
              <w:jc w:val="center"/>
              <w:rPr>
                <w:rFonts w:hint="default"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收费对象：</w:t>
            </w:r>
            <w:r/>
          </w:p>
          <w:p>
            <w:pPr>
              <w:jc w:val="left"/>
              <w:rPr>
                <w:rFonts w:ascii="宋体" w:hAnsi="宋体"/>
                <w:color w:val="auto"/>
                <w:sz w:val="24"/>
                <w:highlight w:val="none"/>
              </w:rPr>
            </w:pPr>
            <w:r>
              <w:rPr>
                <w:rFonts w:ascii="宋体" w:hAnsi="宋体"/>
                <w:color w:val="auto"/>
                <w:sz w:val="24"/>
                <w:highlight w:val="none"/>
              </w:rPr>
              <w:t xml:space="preserve">□采购人</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中标人</w:t>
            </w:r>
            <w:r/>
          </w:p>
          <w:p>
            <w:pPr>
              <w:jc w:val="left"/>
              <w:rPr>
                <w:color w:val="auto"/>
                <w:sz w:val="24"/>
                <w:highlight w:val="none"/>
              </w:rPr>
            </w:pPr>
            <w:r>
              <w:rPr>
                <w:color w:val="auto"/>
                <w:sz w:val="24"/>
                <w:highlight w:val="none"/>
              </w:rPr>
              <w:t xml:space="preserve">收费标准：</w:t>
            </w:r>
            <w:r/>
          </w:p>
          <w:p>
            <w:pPr>
              <w:pStyle w:val="941"/>
              <w:rPr>
                <w:rFonts w:hint="eastAsia" w:ascii="Times New Roman" w:hAnsi="Times New Roman" w:cs="Times New Roman"/>
                <w:color w:val="auto"/>
                <w:highlight w:val="none"/>
              </w:rPr>
            </w:pPr>
            <w:r>
              <w:rPr>
                <w:bCs/>
                <w:color w:val="auto"/>
                <w:highlight w:val="none"/>
              </w:rPr>
              <w:t xml:space="preserve"></w:t>
            </w:r>
            <w:r/>
          </w:p>
          <w:tbl>
            <w:tblPr>
              <w:tblStyle w:val="869"/>
              <w:tblW w:w="5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2218"/>
            </w:tblGrid>
            <w:tr>
              <w:trPr>
                <w:jc w:val="center"/>
                <w:trHeight w:val="2157"/>
              </w:trPr>
              <w:tc>
                <w:tcPr>
                  <w:tcW w:w="3027" w:type="dxa"/>
                  <w:vAlign w:val="top"/>
                  <w:textDirection w:val="lrTb"/>
                  <w:noWrap w:val="false"/>
                </w:tcPr>
                <w:p>
                  <w:pPr>
                    <w:ind w:firstLine="1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302895</wp:posOffset>
                            </wp:positionH>
                            <wp:positionV relativeFrom="paragraph">
                              <wp:posOffset>-6350</wp:posOffset>
                            </wp:positionV>
                            <wp:extent cx="1552575" cy="1495425"/>
                            <wp:effectExtent l="3175" t="3175" r="6350" b="6350"/>
                            <wp:wrapNone/>
                            <wp:docPr id="2" name="直接箭头连接符 2"/>
                            <wp:cNvGraphicFramePr/>
                            <a:graphic xmlns:a="http://schemas.openxmlformats.org/drawingml/2006/main">
                              <a:graphicData uri="http://schemas.microsoft.com/office/word/2010/wordprocessingShape">
                                <wps:wsp>
                                  <wps:cNvPr id="0" name=""/>
                                  <wps:cNvSpPr/>
                                  <wps:spPr bwMode="auto">
                                    <a:xfrm>
                                      <a:off x="0" y="0"/>
                                      <a:ext cx="1552575" cy="14954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3.8pt;mso-position-horizontal:absolute;mso-position-vertical-relative:text;margin-top:-0.5pt;mso-position-vertical:absolute;width:122.2pt;height:117.8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eastAsia="宋体" w:cs="宋体"/>
                      <w:bCs/>
                      <w:color w:val="auto"/>
                      <w:sz w:val="24"/>
                      <w:szCs w:val="24"/>
                      <w:highlight w:val="none"/>
                    </w:rPr>
                    <w:t xml:space="preserve">服</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　　　   务</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-68580</wp:posOffset>
                            </wp:positionH>
                            <wp:positionV relativeFrom="paragraph">
                              <wp:posOffset>218440</wp:posOffset>
                            </wp:positionV>
                            <wp:extent cx="1914525" cy="676275"/>
                            <wp:effectExtent l="1270" t="4445" r="8255" b="5080"/>
                            <wp:wrapNone/>
                            <wp:docPr id="4" name="直接箭头连接符 3"/>
                            <wp:cNvGraphicFramePr/>
                            <a:graphic xmlns:a="http://schemas.openxmlformats.org/drawingml/2006/main">
                              <a:graphicData uri="http://schemas.microsoft.com/office/word/2010/wordprocessingShape">
                                <wps:wsp>
                                  <wps:cNvPr id="0" name=""/>
                                  <wps:cNvSpPr/>
                                  <wps:spPr bwMode="auto">
                                    <a:xfrm>
                                      <a:off x="0" y="0"/>
                                      <a:ext cx="1914525" cy="6762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5.4pt;mso-position-horizontal:absolute;mso-position-vertical-relative:text;margin-top:17.2pt;mso-position-vertical:absolute;width:150.8pt;height:53.2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bCs/>
                      <w:color w:val="auto"/>
                      <w:sz w:val="24"/>
                      <w:szCs w:val="24"/>
                      <w:highlight w:val="none"/>
                    </w:rPr>
                    <w:t xml:space="preserve">　   类</w:t>
                  </w:r>
                  <w:r/>
                </w:p>
                <w:p>
                  <w:pPr>
                    <w:ind w:firstLine="12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率　       型</w:t>
                  </w:r>
                  <w:r>
                    <w:rPr>
                      <w:rFonts w:hint="eastAsia" w:ascii="宋体" w:hAnsi="宋体" w:cs="宋体"/>
                      <w:bCs/>
                      <w:color w:val="auto"/>
                      <w:sz w:val="24"/>
                      <w:szCs w:val="24"/>
                      <w:highlight w:val="none"/>
                      <w:lang w:val="en-US" w:eastAsia="zh-CN"/>
                    </w:rPr>
                    <w:t xml:space="preserve">预算</w:t>
                  </w:r>
                  <w:r>
                    <w:rPr>
                      <w:rFonts w:hint="eastAsia" w:ascii="宋体" w:hAnsi="宋体" w:eastAsia="宋体" w:cs="宋体"/>
                      <w:bCs/>
                      <w:color w:val="auto"/>
                      <w:sz w:val="24"/>
                      <w:szCs w:val="24"/>
                      <w:highlight w:val="none"/>
                    </w:rPr>
                    <w:t xml:space="preserve">金额（万元）</w:t>
                  </w:r>
                  <w:r/>
                </w:p>
              </w:tc>
              <w:tc>
                <w:tcPr>
                  <w:tcW w:w="221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服务类</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100（含，下同）以下</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1</w:t>
                  </w:r>
                  <w:r>
                    <w:rPr>
                      <w:rFonts w:ascii="宋体" w:hAnsi="宋体" w:eastAsia="宋体" w:cs="Times New Roman"/>
                      <w:color w:val="auto"/>
                      <w:sz w:val="24"/>
                      <w:highlight w:val="none"/>
                    </w:rPr>
                    <w:t xml:space="preserve">.5%</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100-500</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0.8</w:t>
                  </w:r>
                  <w:r>
                    <w:rPr>
                      <w:rFonts w:ascii="宋体" w:hAnsi="宋体" w:eastAsia="宋体" w:cs="Times New Roman"/>
                      <w:color w:val="auto"/>
                      <w:sz w:val="24"/>
                      <w:highlight w:val="none"/>
                    </w:rPr>
                    <w:t xml:space="preserve">%</w:t>
                  </w:r>
                  <w:r/>
                </w:p>
              </w:tc>
            </w:tr>
            <w:tr>
              <w:trPr>
                <w:jc w:val="center"/>
              </w:trPr>
              <w:tc>
                <w:tcPr>
                  <w:tcW w:w="30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0.45</w:t>
                  </w:r>
                  <w:r>
                    <w:rPr>
                      <w:rFonts w:ascii="宋体" w:hAnsi="宋体" w:eastAsia="宋体" w:cs="Times New Roman"/>
                      <w:color w:val="auto"/>
                      <w:sz w:val="24"/>
                      <w:highlight w:val="none"/>
                    </w:rPr>
                    <w:t xml:space="preserve">%</w:t>
                  </w:r>
                  <w:r/>
                </w:p>
              </w:tc>
            </w:tr>
            <w:tr>
              <w:trPr>
                <w:jc w:val="center"/>
              </w:trPr>
              <w:tc>
                <w:tcPr>
                  <w:tcW w:w="302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5000</w:t>
                  </w:r>
                  <w:r/>
                </w:p>
              </w:tc>
              <w:tc>
                <w:tcPr>
                  <w:tcW w:w="2218" w:type="dxa"/>
                  <w:vAlign w:val="center"/>
                  <w:textDirection w:val="lrTb"/>
                  <w:noWrap w:val="false"/>
                </w:tcPr>
                <w:p>
                  <w:pPr>
                    <w:jc w:val="center"/>
                    <w:spacing w:line="2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0.25</w:t>
                  </w:r>
                  <w:r>
                    <w:rPr>
                      <w:rFonts w:ascii="宋体" w:hAnsi="宋体" w:eastAsia="宋体" w:cs="Times New Roman"/>
                      <w:color w:val="auto"/>
                      <w:sz w:val="24"/>
                      <w:highlight w:val="none"/>
                    </w:rPr>
                    <w:t xml:space="preserve">%</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2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pStyle w:val="941"/>
              <w:rPr>
                <w:rFonts w:hint="eastAsia" w:eastAsia="宋体"/>
                <w:bCs/>
                <w:color w:val="auto"/>
                <w:highlight w:val="none"/>
              </w:rPr>
            </w:pPr>
            <w:r>
              <w:rPr>
                <w:rFonts w:hint="eastAsia" w:eastAsia="宋体"/>
                <w:bCs/>
                <w:color w:val="auto"/>
                <w:highlight w:val="none"/>
                <w:lang w:val="en-US" w:eastAsia="zh-CN"/>
              </w:rPr>
              <w:t xml:space="preserve">2</w:t>
            </w:r>
            <w:r>
              <w:rPr>
                <w:rFonts w:hint="eastAsia" w:eastAsia="宋体"/>
                <w:bCs/>
                <w:color w:val="auto"/>
                <w:highlight w:val="none"/>
              </w:rPr>
              <w:t xml:space="preserve">.本项目代理服务收费按差额定率累进法计算</w:t>
            </w:r>
            <w:r>
              <w:rPr>
                <w:rFonts w:hint="eastAsia" w:eastAsia="宋体"/>
                <w:bCs/>
                <w:color w:val="auto"/>
                <w:highlight w:val="none"/>
                <w:lang w:eastAsia="zh-CN"/>
              </w:rPr>
              <w:t xml:space="preserve">，</w:t>
            </w:r>
            <w:r>
              <w:rPr>
                <w:rFonts w:hint="eastAsia" w:eastAsia="宋体"/>
                <w:bCs/>
                <w:color w:val="auto"/>
                <w:highlight w:val="none"/>
              </w:rPr>
              <w:t xml:space="preserve">以</w:t>
            </w:r>
            <w:r>
              <w:rPr>
                <w:rFonts w:hint="eastAsia" w:eastAsia="宋体"/>
                <w:bCs/>
                <w:color w:val="auto"/>
                <w:highlight w:val="none"/>
                <w:lang w:val="en-US" w:eastAsia="zh-CN"/>
              </w:rPr>
              <w:t xml:space="preserve">中标总</w:t>
            </w:r>
            <w:r>
              <w:rPr>
                <w:rFonts w:hint="eastAsia" w:eastAsia="宋体"/>
                <w:bCs/>
                <w:color w:val="auto"/>
                <w:highlight w:val="none"/>
              </w:rPr>
              <w:t xml:space="preserve">金额为准，按上述收费标准的</w:t>
            </w:r>
            <w:r>
              <w:rPr>
                <w:rFonts w:hint="eastAsia" w:eastAsia="宋体"/>
                <w:bCs/>
                <w:color w:val="auto"/>
                <w:highlight w:val="none"/>
                <w:lang w:val="en-US" w:eastAsia="zh-CN"/>
              </w:rPr>
              <w:t xml:space="preserve">5</w:t>
            </w:r>
            <w:r>
              <w:rPr>
                <w:rFonts w:hint="eastAsia" w:eastAsia="宋体"/>
                <w:bCs/>
                <w:color w:val="auto"/>
                <w:highlight w:val="none"/>
              </w:rPr>
              <w:t xml:space="preserve">0%计算。</w:t>
            </w:r>
            <w:r/>
          </w:p>
          <w:p>
            <w:pPr>
              <w:pStyle w:val="941"/>
              <w:rPr>
                <w:rFonts w:eastAsia="宋体"/>
                <w:bCs/>
                <w:color w:val="auto"/>
                <w:highlight w:val="none"/>
              </w:rPr>
            </w:pPr>
            <w:r>
              <w:rPr>
                <w:rFonts w:hint="eastAsia" w:eastAsia="宋体"/>
                <w:bCs/>
                <w:color w:val="auto"/>
                <w:highlight w:val="none"/>
                <w:lang w:val="en-US" w:eastAsia="zh-CN"/>
              </w:rPr>
              <w:t xml:space="preserve">3</w:t>
            </w:r>
            <w:r>
              <w:rPr>
                <w:rFonts w:hint="eastAsia" w:eastAsia="宋体"/>
                <w:bCs/>
                <w:color w:val="auto"/>
                <w:highlight w:val="none"/>
              </w:rPr>
              <w:t xml:space="preserve">.代理服务收费按上述计算方法不足人民币</w:t>
            </w:r>
            <w:r>
              <w:rPr>
                <w:rFonts w:hint="eastAsia" w:eastAsia="宋体"/>
                <w:bCs/>
                <w:color w:val="auto"/>
                <w:highlight w:val="none"/>
                <w:lang w:val="en-US" w:eastAsia="zh-CN"/>
              </w:rPr>
              <w:t xml:space="preserve">3000</w:t>
            </w:r>
            <w:r>
              <w:rPr>
                <w:rFonts w:hint="eastAsia" w:eastAsia="宋体"/>
                <w:bCs/>
                <w:color w:val="auto"/>
                <w:highlight w:val="none"/>
              </w:rPr>
              <w:t xml:space="preserve">元的，按人民币</w:t>
            </w:r>
            <w:r>
              <w:rPr>
                <w:rFonts w:hint="eastAsia" w:eastAsia="宋体"/>
                <w:bCs/>
                <w:color w:val="auto"/>
                <w:highlight w:val="none"/>
                <w:lang w:val="en-US" w:eastAsia="zh-CN"/>
              </w:rPr>
              <w:t xml:space="preserve">3000</w:t>
            </w:r>
            <w:r>
              <w:rPr>
                <w:rFonts w:hint="eastAsia" w:eastAsia="宋体"/>
                <w:bCs/>
                <w:color w:val="auto"/>
                <w:highlight w:val="none"/>
              </w:rPr>
              <w:t xml:space="preserve">元收取。</w:t>
            </w:r>
            <w:r/>
          </w:p>
          <w:p>
            <w:pPr>
              <w:pStyle w:val="941"/>
              <w:rPr>
                <w:bCs/>
                <w:color w:val="auto"/>
                <w:highlight w:val="none"/>
              </w:rPr>
            </w:pPr>
            <w:r>
              <w:rPr>
                <w:rFonts w:hint="eastAsia"/>
                <w:bCs/>
                <w:color w:val="auto"/>
                <w:highlight w:val="none"/>
                <w:lang w:val="en-US" w:eastAsia="zh-CN"/>
              </w:rPr>
              <w:t xml:space="preserve">4</w:t>
            </w:r>
            <w:r>
              <w:rPr>
                <w:bCs/>
                <w:color w:val="auto"/>
                <w:highlight w:val="none"/>
              </w:rPr>
              <w:t xml:space="preserve">缴纳时间：</w:t>
            </w:r>
            <w:r>
              <w:rPr>
                <w:rFonts w:hint="eastAsia"/>
                <w:bCs/>
                <w:color w:val="auto"/>
                <w:highlight w:val="none"/>
              </w:rPr>
              <w:t xml:space="preserve">中标人</w:t>
            </w:r>
            <w:r>
              <w:rPr>
                <w:bCs/>
                <w:color w:val="auto"/>
                <w:highlight w:val="none"/>
              </w:rPr>
              <w:t xml:space="preserve">应在领取</w:t>
            </w:r>
            <w:r>
              <w:rPr>
                <w:rFonts w:hint="eastAsia"/>
                <w:bCs/>
                <w:color w:val="auto"/>
                <w:highlight w:val="none"/>
              </w:rPr>
              <w:t xml:space="preserve">中标</w:t>
            </w:r>
            <w:r>
              <w:rPr>
                <w:bCs/>
                <w:color w:val="auto"/>
                <w:highlight w:val="none"/>
              </w:rPr>
              <w:t xml:space="preserve">通知书前将代理服务费付至指定的收款账户。</w:t>
            </w:r>
            <w:r/>
          </w:p>
          <w:p>
            <w:pPr>
              <w:ind w:firstLine="240"/>
              <w:jc w:val="left"/>
              <w:rPr>
                <w:color w:val="auto"/>
                <w:sz w:val="24"/>
                <w:highlight w:val="none"/>
              </w:rPr>
            </w:pPr>
            <w:r>
              <w:rPr>
                <w:rFonts w:hint="eastAsia"/>
                <w:color w:val="auto"/>
                <w:sz w:val="24"/>
                <w:highlight w:val="none"/>
              </w:rPr>
              <w:t xml:space="preserve">收款单位：常州盈泰招标有限公司</w:t>
            </w:r>
            <w:r/>
          </w:p>
          <w:p>
            <w:pPr>
              <w:ind w:firstLine="240"/>
              <w:jc w:val="left"/>
              <w:rPr>
                <w:color w:val="auto"/>
                <w:sz w:val="24"/>
                <w:highlight w:val="none"/>
              </w:rPr>
            </w:pPr>
            <w:r>
              <w:rPr>
                <w:rFonts w:hint="eastAsia"/>
                <w:color w:val="auto"/>
                <w:sz w:val="24"/>
                <w:highlight w:val="none"/>
              </w:rPr>
              <w:t xml:space="preserve">开户银行：中国建设银行常州市延陵路支行</w:t>
            </w:r>
            <w:r/>
          </w:p>
          <w:p>
            <w:pPr>
              <w:pStyle w:val="941"/>
              <w:ind w:firstLine="240"/>
              <w:rPr>
                <w:rFonts w:ascii="宋体" w:hAnsi="宋体"/>
                <w:color w:val="auto"/>
                <w:highlight w:val="none"/>
              </w:rPr>
            </w:pPr>
            <w:r>
              <w:rPr>
                <w:rFonts w:hint="eastAsia"/>
                <w:color w:val="auto"/>
                <w:highlight w:val="none"/>
              </w:rPr>
              <w:t xml:space="preserve">银行账号：</w:t>
            </w:r>
            <w:r>
              <w:rPr>
                <w:color w:val="auto"/>
                <w:highlight w:val="none"/>
              </w:rPr>
              <w:t xml:space="preserve"></w:t>
            </w:r>
            <w:r/>
          </w:p>
        </w:tc>
      </w:tr>
    </w:tbl>
    <w:p>
      <w:pPr>
        <w:jc w:val="center"/>
        <w:spacing w:before="240" w:after="240"/>
        <w:rPr>
          <w:rFonts w:ascii="宋体" w:hAnsi="宋体"/>
          <w:b/>
          <w:color w:val="auto"/>
          <w:sz w:val="28"/>
          <w:szCs w:val="28"/>
          <w:highlight w:val="none"/>
        </w:rPr>
      </w:pPr>
      <w:r>
        <w:rPr>
          <w:rFonts w:ascii="宋体" w:hAnsi="宋体"/>
          <w:color w:val="auto"/>
          <w:highlight w:val="none"/>
        </w:rPr>
        <w:br w:type="page" w:clear="all"/>
      </w:r>
      <w:bookmarkStart w:id="83" w:name="_Toc127151517"/>
      <w:r/>
      <w:bookmarkStart w:id="84" w:name="_Toc265228355"/>
      <w:r/>
      <w:bookmarkStart w:id="85" w:name="_Toc150774722"/>
      <w:r/>
      <w:bookmarkStart w:id="86" w:name="_Toc353825542"/>
      <w:r/>
      <w:bookmarkStart w:id="87" w:name="_Toc195842882"/>
      <w:r/>
      <w:bookmarkStart w:id="88" w:name="_Toc305158785"/>
      <w:r/>
      <w:bookmarkStart w:id="89" w:name="_Toc226965790"/>
      <w:r/>
      <w:bookmarkStart w:id="90" w:name="_Toc142311019"/>
      <w:r/>
      <w:bookmarkStart w:id="91" w:name="_Toc353873932"/>
      <w:r/>
      <w:bookmarkStart w:id="92" w:name="_Toc264969207"/>
      <w:r/>
      <w:bookmarkStart w:id="93" w:name="_Toc305158859"/>
      <w:r/>
      <w:bookmarkStart w:id="94" w:name="_Toc226337213"/>
      <w:r/>
      <w:bookmarkStart w:id="95" w:name="_Toc150480755"/>
      <w:r/>
      <w:bookmarkStart w:id="96" w:name="_Toc353873662"/>
      <w:r>
        <w:rPr>
          <w:rFonts w:ascii="宋体" w:hAnsi="宋体"/>
          <w:b/>
          <w:color w:val="auto"/>
          <w:sz w:val="28"/>
          <w:szCs w:val="28"/>
          <w:highlight w:val="none"/>
        </w:rPr>
        <w:t xml:space="preserve">投标人须知</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pStyle w:val="860"/>
        <w:jc w:val="left"/>
        <w:spacing w:before="0" w:line="360" w:lineRule="auto"/>
        <w:tabs>
          <w:tab w:val="center" w:pos="4592" w:leader="none"/>
          <w:tab w:val="left" w:pos="7860" w:leader="none"/>
        </w:tabs>
        <w:rPr>
          <w:rFonts w:ascii="宋体" w:hAnsi="宋体" w:eastAsia="宋体"/>
          <w:color w:val="auto"/>
          <w:sz w:val="28"/>
          <w:highlight w:val="none"/>
        </w:rPr>
      </w:pPr>
      <w:r/>
      <w:bookmarkStart w:id="97" w:name="_Toc127151518"/>
      <w:r/>
      <w:bookmarkStart w:id="98" w:name="_Toc520356143"/>
      <w:r>
        <w:rPr>
          <w:rFonts w:ascii="宋体" w:hAnsi="宋体" w:eastAsia="宋体"/>
          <w:color w:val="auto"/>
          <w:sz w:val="28"/>
          <w:highlight w:val="none"/>
        </w:rPr>
        <w:tab/>
      </w:r>
      <w:bookmarkStart w:id="99" w:name="_Toc150480756"/>
      <w:r/>
      <w:bookmarkStart w:id="100" w:name="_Toc151193906"/>
      <w:r/>
      <w:bookmarkStart w:id="101" w:name="_Toc195842883"/>
      <w:r/>
      <w:bookmarkStart w:id="102" w:name="_Toc151193760"/>
      <w:r/>
      <w:bookmarkStart w:id="103" w:name="_Toc226965708"/>
      <w:r/>
      <w:bookmarkStart w:id="104" w:name="_Toc151193688"/>
      <w:r/>
      <w:bookmarkStart w:id="105" w:name="_Toc226965791"/>
      <w:r/>
      <w:bookmarkStart w:id="106" w:name="_Toc226337214"/>
      <w:r/>
      <w:bookmarkStart w:id="107" w:name="_Toc150509269"/>
      <w:r/>
      <w:bookmarkStart w:id="108" w:name="_Toc151193616"/>
      <w:r/>
      <w:bookmarkStart w:id="109" w:name="_Toc264969208"/>
      <w:r/>
      <w:bookmarkStart w:id="110" w:name="_Toc151193832"/>
      <w:r/>
      <w:bookmarkStart w:id="111" w:name="_Toc226309762"/>
      <w:r/>
      <w:bookmarkStart w:id="112" w:name="_Toc150774723"/>
      <w:r/>
      <w:bookmarkStart w:id="113" w:name="_Toc305158786"/>
      <w:r/>
      <w:bookmarkStart w:id="114" w:name="_Toc150774618"/>
      <w:r/>
      <w:bookmarkStart w:id="115" w:name="_Toc151190145"/>
      <w:r/>
      <w:bookmarkStart w:id="116" w:name="_Toc305158860"/>
      <w:r/>
      <w:bookmarkStart w:id="117" w:name="_Toc142311020"/>
      <w:r/>
      <w:bookmarkStart w:id="118" w:name="_Toc265228356"/>
      <w:r>
        <w:rPr>
          <w:rFonts w:ascii="宋体" w:hAnsi="宋体" w:eastAsia="宋体"/>
          <w:color w:val="auto"/>
          <w:sz w:val="28"/>
          <w:highlight w:val="none"/>
        </w:rPr>
        <w:t xml:space="preserve">一   说  明</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ascii="宋体" w:hAnsi="宋体" w:eastAsia="宋体"/>
          <w:color w:val="auto"/>
          <w:sz w:val="28"/>
          <w:highlight w:val="none"/>
        </w:rPr>
        <w:tab/>
      </w:r>
      <w:r/>
    </w:p>
    <w:p>
      <w:pPr>
        <w:numPr>
          <w:ilvl w:val="0"/>
          <w:numId w:val="10"/>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19" w:name="_Toc305158787"/>
      <w:r/>
      <w:bookmarkStart w:id="120" w:name="_Toc265228357"/>
      <w:r/>
      <w:bookmarkStart w:id="121" w:name="_Toc305158861"/>
      <w:r/>
      <w:bookmarkStart w:id="122" w:name="_Toc264969209"/>
      <w:r>
        <w:rPr>
          <w:rFonts w:ascii="宋体" w:hAnsi="宋体"/>
          <w:color w:val="auto"/>
          <w:sz w:val="24"/>
          <w:highlight w:val="none"/>
        </w:rPr>
        <w:t xml:space="preserve">采购人、采购代理机构、投标人</w:t>
      </w:r>
      <w:bookmarkEnd w:id="119"/>
      <w:r/>
      <w:bookmarkEnd w:id="120"/>
      <w:r/>
      <w:bookmarkEnd w:id="121"/>
      <w:r/>
      <w:bookmarkEnd w:id="122"/>
      <w:r>
        <w:rPr>
          <w:rFonts w:hint="eastAsia" w:ascii="宋体" w:hAnsi="宋体"/>
          <w:color w:val="auto"/>
          <w:sz w:val="24"/>
          <w:highlight w:val="none"/>
        </w:rPr>
        <w:t xml:space="preserve">、联合体</w:t>
      </w:r>
      <w:r/>
    </w:p>
    <w:p>
      <w:pPr>
        <w:numPr>
          <w:ilvl w:val="1"/>
          <w:numId w:val="10"/>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10"/>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投标人（也称</w:t>
      </w:r>
      <w:r>
        <w:rPr>
          <w:rFonts w:hint="eastAsia" w:ascii="宋体" w:hAnsi="宋体"/>
          <w:color w:val="auto"/>
          <w:sz w:val="24"/>
          <w:highlight w:val="none"/>
        </w:rPr>
        <w:t xml:space="preserve">“投标人”、“</w:t>
      </w:r>
      <w:r>
        <w:rPr>
          <w:rFonts w:ascii="宋体" w:hAnsi="宋体"/>
          <w:color w:val="auto"/>
          <w:sz w:val="24"/>
          <w:highlight w:val="none"/>
        </w:rPr>
        <w:t xml:space="preserve">申请人</w:t>
      </w:r>
      <w:r>
        <w:rPr>
          <w:rFonts w:hint="eastAsia" w:ascii="宋体" w:hAnsi="宋体"/>
          <w:color w:val="auto"/>
          <w:sz w:val="24"/>
          <w:highlight w:val="none"/>
        </w:rPr>
        <w:t xml:space="preserve">”</w:t>
      </w:r>
      <w:r>
        <w:rPr>
          <w:rFonts w:ascii="宋体" w:hAnsi="宋体"/>
          <w:color w:val="auto"/>
          <w:sz w:val="24"/>
          <w:highlight w:val="none"/>
        </w:rPr>
        <w:t xml:space="preserve">）：指向采购人提供货物、工程或者服务的法人、其他组织或者自然人。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hint="eastAsia" w:ascii="宋体" w:hAnsi="宋体"/>
          <w:color w:val="auto"/>
          <w:sz w:val="24"/>
          <w:highlight w:val="none"/>
        </w:rPr>
        <w:t xml:space="preserve">联合体：指两个以上的自然人、法人或者其他组织组成一个联合体，以一个投标人的身份共同参加政府采购。</w:t>
      </w:r>
      <w:r/>
    </w:p>
    <w:p>
      <w:pPr>
        <w:numPr>
          <w:ilvl w:val="0"/>
          <w:numId w:val="10"/>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23" w:name="_Toc127151721"/>
      <w:r/>
      <w:bookmarkStart w:id="124" w:name="_Toc151193834"/>
      <w:r/>
      <w:bookmarkStart w:id="125" w:name="_Toc151193762"/>
      <w:r/>
      <w:bookmarkStart w:id="126" w:name="_Toc264969210"/>
      <w:r/>
      <w:bookmarkStart w:id="127" w:name="_Toc226965710"/>
      <w:r/>
      <w:bookmarkStart w:id="128" w:name="_Toc150774620"/>
      <w:r/>
      <w:bookmarkStart w:id="129" w:name="_Toc164229361"/>
      <w:r/>
      <w:bookmarkStart w:id="130" w:name="_Toc150480758"/>
      <w:r/>
      <w:bookmarkStart w:id="131" w:name="_Toc151190147"/>
      <w:r/>
      <w:bookmarkStart w:id="132" w:name="_Toc142311022"/>
      <w:r/>
      <w:bookmarkStart w:id="133" w:name="_Toc226337216"/>
      <w:r/>
      <w:bookmarkStart w:id="134" w:name="_Toc226965793"/>
      <w:r/>
      <w:bookmarkStart w:id="135" w:name="_Toc151193908"/>
      <w:r/>
      <w:bookmarkStart w:id="136" w:name="_Toc150774725"/>
      <w:r/>
      <w:bookmarkStart w:id="137" w:name="_Toc164351614"/>
      <w:r/>
      <w:bookmarkStart w:id="138" w:name="_Toc127161434"/>
      <w:r/>
      <w:bookmarkStart w:id="139" w:name="_Toc195842885"/>
      <w:r/>
      <w:bookmarkStart w:id="140" w:name="_Toc151193690"/>
      <w:r/>
      <w:bookmarkStart w:id="141" w:name="_Toc305158788"/>
      <w:r/>
      <w:bookmarkStart w:id="142" w:name="_Toc226309764"/>
      <w:r/>
      <w:bookmarkStart w:id="143" w:name="_Toc127151520"/>
      <w:r/>
      <w:bookmarkStart w:id="144" w:name="_Toc149720813"/>
      <w:r/>
      <w:bookmarkStart w:id="145" w:name="_Toc164608634"/>
      <w:r/>
      <w:bookmarkStart w:id="146" w:name="_Toc151193618"/>
      <w:r/>
      <w:bookmarkStart w:id="147" w:name="_Toc305158862"/>
      <w:r/>
      <w:bookmarkStart w:id="148" w:name="_Toc150509271"/>
      <w:r/>
      <w:bookmarkStart w:id="149" w:name="_Toc164229215"/>
      <w:r/>
      <w:bookmarkStart w:id="150" w:name="_Toc164608789"/>
      <w:r/>
      <w:bookmarkStart w:id="151" w:name="_Toc265228358"/>
      <w:r>
        <w:rPr>
          <w:rFonts w:ascii="宋体" w:hAnsi="宋体"/>
          <w:color w:val="auto"/>
          <w:sz w:val="24"/>
          <w:highlight w:val="none"/>
        </w:rPr>
        <w:t xml:space="preserve">资金来源</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color w:val="auto"/>
          <w:sz w:val="24"/>
          <w:highlight w:val="none"/>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项目属性见《投标人须知资料表》。</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核心产品见《投标人须知资料表》。</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现场考察、开标前答疑会</w:t>
      </w:r>
      <w:r/>
    </w:p>
    <w:p>
      <w:pPr>
        <w:numPr>
          <w:ilvl w:val="1"/>
          <w:numId w:val="10"/>
        </w:numPr>
        <w:ind w:left="1080" w:hanging="720"/>
        <w:spacing w:line="360" w:lineRule="auto"/>
        <w:tabs>
          <w:tab w:val="left" w:pos="1080" w:leader="none"/>
          <w:tab w:val="left" w:pos="2014" w:leader="none"/>
        </w:tabs>
        <w:rPr>
          <w:rFonts w:ascii="宋体" w:hAnsi="宋体"/>
          <w:color w:val="auto"/>
          <w:sz w:val="28"/>
          <w:highlight w:val="none"/>
        </w:rPr>
      </w:pPr>
      <w:r>
        <w:rPr>
          <w:rFonts w:ascii="宋体" w:hAnsi="宋体"/>
          <w:color w:val="auto"/>
          <w:sz w:val="24"/>
          <w:highlight w:val="none"/>
        </w:rPr>
        <w:t xml:space="preserve">若《投标人须知资料表》中规定了组织现场考察、召开开标前答疑会，则投标人应按要求在规定的时间和地点参加。</w:t>
      </w:r>
      <w:bookmarkStart w:id="152" w:name="_Toc305158864"/>
      <w:r/>
      <w:bookmarkStart w:id="153" w:name="_Toc150774727"/>
      <w:r/>
      <w:bookmarkStart w:id="154" w:name="_Toc127151522"/>
      <w:r/>
      <w:bookmarkStart w:id="155" w:name="_Toc142311024"/>
      <w:r/>
      <w:bookmarkStart w:id="156" w:name="_Toc520356146"/>
      <w:r/>
      <w:bookmarkStart w:id="157" w:name="_Toc195842887"/>
      <w:r/>
      <w:bookmarkStart w:id="158" w:name="_Toc226965712"/>
      <w:r/>
      <w:bookmarkStart w:id="159" w:name="_Toc264969212"/>
      <w:r/>
      <w:bookmarkStart w:id="160" w:name="_Toc150509273"/>
      <w:r/>
      <w:bookmarkStart w:id="161" w:name="_Toc305158790"/>
      <w:r/>
      <w:bookmarkStart w:id="162" w:name="_Toc150774622"/>
      <w:r/>
      <w:bookmarkStart w:id="163" w:name="_Toc226337218"/>
      <w:r/>
      <w:bookmarkStart w:id="164" w:name="_Toc151193692"/>
      <w:r/>
      <w:bookmarkStart w:id="165" w:name="_Toc150480760"/>
      <w:r/>
      <w:bookmarkStart w:id="166" w:name="_Toc151193764"/>
      <w:r/>
      <w:bookmarkStart w:id="167" w:name="_Toc226309766"/>
      <w:r/>
      <w:bookmarkStart w:id="168" w:name="_Toc226965795"/>
      <w:r/>
      <w:bookmarkStart w:id="169" w:name="_Toc265228360"/>
      <w:r/>
      <w:bookmarkStart w:id="170" w:name="_Toc151193910"/>
      <w:r/>
      <w:bookmarkStart w:id="171" w:name="_Toc151190149"/>
      <w:r/>
      <w:bookmarkStart w:id="172" w:name="_Toc151193836"/>
      <w:r/>
      <w:bookmarkStart w:id="173" w:name="_Toc151193620"/>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样品</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 xml:space="preserve">。</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样品的评审方法以及评审标准等内容见第四章《评标方法和评标标准》。</w:t>
      </w:r>
      <w:r/>
    </w:p>
    <w:p>
      <w:pPr>
        <w:numPr>
          <w:ilvl w:val="0"/>
          <w:numId w:val="10"/>
        </w:numPr>
        <w:ind w:left="357" w:hanging="357"/>
        <w:spacing w:line="360" w:lineRule="auto"/>
        <w:tabs>
          <w:tab w:val="left" w:pos="360"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进口产品</w:t>
      </w:r>
      <w:r/>
    </w:p>
    <w:p>
      <w:pPr>
        <w:numPr>
          <w:ilvl w:val="2"/>
          <w:numId w:val="10"/>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中小企业定义：</w:t>
      </w:r>
      <w:r/>
    </w:p>
    <w:p>
      <w:pPr>
        <w:pStyle w:val="958"/>
        <w:numPr>
          <w:ilvl w:val="0"/>
          <w:numId w:val="11"/>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1"/>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1"/>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1"/>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1"/>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1"/>
          <w:numId w:val="11"/>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1"/>
          <w:numId w:val="11"/>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2"/>
          <w:numId w:val="11"/>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提供的货物、工程或者服务符合下列情形的，享受中小企业扶持政策：</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在货物采购项目中，</w:t>
      </w:r>
      <w:r>
        <w:rPr>
          <w:rFonts w:hint="eastAsia" w:ascii="宋体" w:hAnsi="宋体"/>
          <w:color w:val="auto"/>
          <w:sz w:val="24"/>
          <w:highlight w:val="none"/>
        </w:rPr>
        <w:t xml:space="preserve">投标人</w:t>
      </w:r>
      <w:r>
        <w:rPr>
          <w:rFonts w:ascii="宋体" w:hAnsi="宋体"/>
          <w:color w:val="auto"/>
          <w:sz w:val="24"/>
          <w:highlight w:val="none"/>
        </w:rPr>
        <w:t xml:space="preserve">提供的货物既有中小企业制造货物，也有大型企业制造货物的，不享受中小企业扶持政策。</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958"/>
        <w:numPr>
          <w:ilvl w:val="2"/>
          <w:numId w:val="11"/>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2"/>
          <w:numId w:val="11"/>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本项目是否专门面向中小企业预留采购份额见第一章《投标邀请》。</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采购标的对应的中小企业划分标准所属行业见《投标人须知资料表》。</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支持乡村产业振兴管理</w:t>
      </w:r>
      <w:r/>
    </w:p>
    <w:p>
      <w:pPr>
        <w:numPr>
          <w:ilvl w:val="2"/>
          <w:numId w:val="10"/>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正版软件</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10"/>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highlight w:val="none"/>
        </w:rPr>
      </w:pPr>
      <w:r>
        <w:rPr>
          <w:rFonts w:hint="eastAsia"/>
          <w:color w:val="auto"/>
          <w:sz w:val="24"/>
          <w:highlight w:val="none"/>
        </w:rPr>
        <w:t xml:space="preserve"> 5.7     绿色采购政策</w:t>
      </w:r>
      <w:r/>
    </w:p>
    <w:p>
      <w:pPr>
        <w:ind w:firstLine="1200"/>
        <w:spacing w:line="480" w:lineRule="exact"/>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ascii="宋体" w:hAnsi="宋体"/>
          <w:color w:val="auto"/>
          <w:sz w:val="24"/>
          <w:highlight w:val="none"/>
        </w:rPr>
      </w:pPr>
      <w:r>
        <w:rPr>
          <w:rFonts w:hint="eastAsia" w:ascii="宋体" w:hAnsi="宋体"/>
          <w:color w:val="auto"/>
          <w:sz w:val="24"/>
          <w:highlight w:val="none"/>
        </w:rPr>
        <w:t xml:space="preserve">5.7.2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auto"/>
          <w:sz w:val="24"/>
          <w:highlight w:val="none"/>
        </w:rPr>
      </w:pPr>
      <w:r>
        <w:rPr>
          <w:rFonts w:hint="eastAsia" w:ascii="宋体" w:hAnsi="宋体"/>
          <w:color w:val="auto"/>
          <w:sz w:val="24"/>
          <w:highlight w:val="none"/>
        </w:rPr>
        <w:t xml:space="preserve">5.7.3 优先使用低挥发性有机化合物产品</w:t>
      </w:r>
      <w:r/>
    </w:p>
    <w:p>
      <w:pPr>
        <w:ind w:left="1079" w:hanging="600"/>
        <w:spacing w:line="480" w:lineRule="exact"/>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color w:val="auto"/>
          <w:sz w:val="24"/>
          <w:highlight w:val="none"/>
        </w:rPr>
      </w:pPr>
      <w:r>
        <w:rPr>
          <w:rFonts w:hint="eastAsia"/>
          <w:color w:val="auto"/>
          <w:sz w:val="24"/>
          <w:highlight w:val="none"/>
        </w:rPr>
        <w:t xml:space="preserve">5.8    采购本国产品的支持政策</w:t>
      </w:r>
      <w:r/>
    </w:p>
    <w:p>
      <w:pPr>
        <w:ind w:left="1078" w:hanging="120"/>
        <w:spacing w:line="480" w:lineRule="exact"/>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投标费用</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olor w:val="auto"/>
          <w:sz w:val="28"/>
          <w:highlight w:val="none"/>
        </w:rPr>
      </w:pPr>
      <w:r/>
      <w:bookmarkStart w:id="174" w:name="_1.8_计量单位"/>
      <w:r/>
      <w:bookmarkEnd w:id="174"/>
      <w:r/>
      <w:r/>
    </w:p>
    <w:p>
      <w:pPr>
        <w:pStyle w:val="860"/>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二   招标文件</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175" w:name="_Toc226337219"/>
      <w:r/>
      <w:bookmarkStart w:id="176" w:name="_Toc305158865"/>
      <w:r/>
      <w:bookmarkStart w:id="177" w:name="_Toc150509274"/>
      <w:r/>
      <w:bookmarkStart w:id="178" w:name="_Toc127161437"/>
      <w:r/>
      <w:bookmarkStart w:id="179" w:name="_Toc151193911"/>
      <w:r/>
      <w:bookmarkStart w:id="180" w:name="_Toc226965796"/>
      <w:r/>
      <w:bookmarkStart w:id="181" w:name="_Toc226965713"/>
      <w:r/>
      <w:bookmarkStart w:id="182" w:name="_Toc150480761"/>
      <w:r/>
      <w:bookmarkStart w:id="183" w:name="_Toc151190150"/>
      <w:r/>
      <w:bookmarkStart w:id="184" w:name="_Toc151193693"/>
      <w:r/>
      <w:bookmarkStart w:id="185" w:name="_Toc164229364"/>
      <w:r/>
      <w:bookmarkStart w:id="186" w:name="_Toc127151724"/>
      <w:r/>
      <w:bookmarkStart w:id="187" w:name="_Toc164608637"/>
      <w:r/>
      <w:bookmarkStart w:id="188" w:name="_Toc150774728"/>
      <w:r/>
      <w:bookmarkStart w:id="189" w:name="_Toc164351617"/>
      <w:r/>
      <w:bookmarkStart w:id="190" w:name="_Toc195842888"/>
      <w:r/>
      <w:bookmarkStart w:id="191" w:name="_Toc127151523"/>
      <w:r/>
      <w:bookmarkStart w:id="192" w:name="_Toc142311025"/>
      <w:r/>
      <w:bookmarkStart w:id="193" w:name="_Toc226309767"/>
      <w:r/>
      <w:bookmarkStart w:id="194" w:name="_Toc520356147"/>
      <w:r/>
      <w:bookmarkStart w:id="195" w:name="_Toc151193837"/>
      <w:r/>
      <w:bookmarkStart w:id="196" w:name="_Toc305158791"/>
      <w:r/>
      <w:bookmarkStart w:id="197" w:name="_Toc265228361"/>
      <w:r/>
      <w:bookmarkStart w:id="198" w:name="_Toc150774623"/>
      <w:r/>
      <w:bookmarkStart w:id="199" w:name="_Toc149720816"/>
      <w:r/>
      <w:bookmarkStart w:id="200" w:name="_Toc164608792"/>
      <w:r/>
      <w:bookmarkStart w:id="201" w:name="_Toc151193765"/>
      <w:r/>
      <w:bookmarkStart w:id="202" w:name="_Toc164229218"/>
      <w:r/>
      <w:bookmarkStart w:id="203" w:name="_Toc151193621"/>
      <w:r/>
      <w:bookmarkStart w:id="204" w:name="_Toc264969213"/>
      <w:r>
        <w:rPr>
          <w:rFonts w:ascii="宋体" w:hAnsi="宋体"/>
          <w:color w:val="auto"/>
          <w:sz w:val="24"/>
          <w:highlight w:val="none"/>
        </w:rPr>
        <w:t xml:space="preserve">招标文件构</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rFonts w:ascii="宋体" w:hAnsi="宋体"/>
          <w:color w:val="auto"/>
          <w:sz w:val="24"/>
          <w:highlight w:val="none"/>
        </w:rPr>
        <w:t xml:space="preserve">成</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招标文件包括以下部分：</w:t>
      </w:r>
      <w:r/>
    </w:p>
    <w:p>
      <w:pPr>
        <w:numPr>
          <w:ilvl w:val="0"/>
          <w:numId w:val="12"/>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投标邀请</w:t>
      </w:r>
      <w:r/>
    </w:p>
    <w:p>
      <w:pPr>
        <w:numPr>
          <w:ilvl w:val="0"/>
          <w:numId w:val="12"/>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投标人须知</w:t>
      </w:r>
      <w:r/>
    </w:p>
    <w:p>
      <w:pPr>
        <w:numPr>
          <w:ilvl w:val="0"/>
          <w:numId w:val="12"/>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资格审查</w:t>
      </w:r>
      <w:r/>
    </w:p>
    <w:p>
      <w:pPr>
        <w:numPr>
          <w:ilvl w:val="0"/>
          <w:numId w:val="12"/>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评标程序、评标方法和评标标准</w:t>
      </w:r>
      <w:r/>
    </w:p>
    <w:p>
      <w:pPr>
        <w:numPr>
          <w:ilvl w:val="0"/>
          <w:numId w:val="12"/>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采购需求</w:t>
      </w:r>
      <w:r/>
    </w:p>
    <w:p>
      <w:pPr>
        <w:numPr>
          <w:ilvl w:val="0"/>
          <w:numId w:val="12"/>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拟签订的合同文本</w:t>
      </w:r>
      <w:r/>
    </w:p>
    <w:p>
      <w:pPr>
        <w:numPr>
          <w:ilvl w:val="0"/>
          <w:numId w:val="12"/>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投标文件格式</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0"/>
        </w:numPr>
        <w:ind w:left="357" w:hanging="357"/>
        <w:spacing w:line="360" w:lineRule="auto"/>
        <w:tabs>
          <w:tab w:val="left" w:pos="1080" w:leader="none"/>
          <w:tab w:val="left" w:pos="2014" w:leader="none"/>
        </w:tabs>
        <w:rPr>
          <w:rFonts w:ascii="宋体" w:hAnsi="宋体"/>
          <w:color w:val="auto"/>
          <w:sz w:val="24"/>
          <w:highlight w:val="none"/>
        </w:rPr>
        <w:outlineLvl w:val="1"/>
      </w:pPr>
      <w:r>
        <w:rPr>
          <w:rFonts w:ascii="宋体" w:hAnsi="宋体"/>
          <w:color w:val="auto"/>
          <w:sz w:val="24"/>
          <w:highlight w:val="none"/>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采购人或采购代理机构对已发出的招标文件进行必要澄清或者修改的，将在原公告发布媒体上以</w:t>
      </w:r>
      <w:r>
        <w:rPr>
          <w:rFonts w:hint="eastAsia" w:ascii="宋体" w:hAnsi="宋体"/>
          <w:color w:val="auto"/>
          <w:sz w:val="24"/>
          <w:highlight w:val="none"/>
        </w:rPr>
        <w:t xml:space="preserve">发布</w:t>
      </w:r>
      <w:r>
        <w:rPr>
          <w:rFonts w:ascii="宋体" w:hAnsi="宋体"/>
          <w:color w:val="auto"/>
          <w:sz w:val="24"/>
          <w:highlight w:val="none"/>
        </w:rPr>
        <w:t xml:space="preserve">更正公告</w:t>
      </w:r>
      <w:r>
        <w:rPr>
          <w:rFonts w:hint="eastAsia" w:ascii="宋体" w:hAnsi="宋体"/>
          <w:color w:val="auto"/>
          <w:sz w:val="24"/>
          <w:highlight w:val="none"/>
        </w:rPr>
        <w:t xml:space="preserve">的</w:t>
      </w:r>
      <w:r>
        <w:rPr>
          <w:rFonts w:ascii="宋体" w:hAnsi="宋体"/>
          <w:color w:val="auto"/>
          <w:sz w:val="24"/>
          <w:highlight w:val="none"/>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宋体" w:hAnsi="宋体"/>
          <w:color w:val="auto"/>
          <w:sz w:val="28"/>
          <w:highlight w:val="none"/>
        </w:rPr>
      </w:pPr>
      <w:r/>
      <w:bookmarkStart w:id="205" w:name="_Toc516367020"/>
      <w:r/>
      <w:bookmarkStart w:id="206" w:name="_Toc150774731"/>
      <w:r/>
      <w:bookmarkStart w:id="207" w:name="_Toc264969216"/>
      <w:r/>
      <w:bookmarkStart w:id="208" w:name="_Toc127151526"/>
      <w:r/>
      <w:bookmarkStart w:id="209" w:name="_Toc151193768"/>
      <w:r/>
      <w:bookmarkStart w:id="210" w:name="_Toc150774626"/>
      <w:r/>
      <w:bookmarkStart w:id="211" w:name="_Toc195842891"/>
      <w:r/>
      <w:bookmarkStart w:id="212" w:name="_Toc226337222"/>
      <w:r/>
      <w:bookmarkStart w:id="213" w:name="_Toc150509277"/>
      <w:r/>
      <w:bookmarkStart w:id="214" w:name="_Toc305158868"/>
      <w:r/>
      <w:bookmarkStart w:id="215" w:name="_Toc150480764"/>
      <w:r/>
      <w:bookmarkStart w:id="216" w:name="_Toc151193696"/>
      <w:r/>
      <w:bookmarkStart w:id="217" w:name="_Toc151193840"/>
      <w:r/>
      <w:bookmarkStart w:id="218" w:name="_Toc142311028"/>
      <w:r/>
      <w:bookmarkStart w:id="219" w:name="_Toc265228364"/>
      <w:r/>
      <w:bookmarkStart w:id="220" w:name="_Toc151190153"/>
      <w:r/>
      <w:bookmarkStart w:id="221" w:name="_Toc151193914"/>
      <w:r/>
      <w:bookmarkStart w:id="222" w:name="_Toc226309770"/>
      <w:r/>
      <w:bookmarkStart w:id="223" w:name="_Toc520356150"/>
      <w:r/>
      <w:bookmarkStart w:id="224" w:name="_Toc305158794"/>
      <w:r/>
      <w:bookmarkStart w:id="225" w:name="_Toc151193624"/>
      <w:r/>
      <w:bookmarkStart w:id="226" w:name="_Toc226965716"/>
      <w:r/>
      <w:bookmarkStart w:id="227" w:name="_Toc226965799"/>
      <w:r/>
      <w:r/>
    </w:p>
    <w:p>
      <w:pPr>
        <w:pStyle w:val="860"/>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三   投标文件</w:t>
      </w:r>
      <w:bookmarkEnd w:id="205"/>
      <w:r>
        <w:rPr>
          <w:rFonts w:ascii="宋体" w:hAnsi="宋体" w:eastAsia="宋体"/>
          <w:color w:val="auto"/>
          <w:sz w:val="28"/>
          <w:highlight w:val="none"/>
        </w:rPr>
        <w:t xml:space="preserve">的编制</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228" w:name="_Toc226337223"/>
      <w:r/>
      <w:bookmarkStart w:id="229" w:name="_Toc127161441"/>
      <w:r/>
      <w:bookmarkStart w:id="230" w:name="_Toc164608641"/>
      <w:r/>
      <w:bookmarkStart w:id="231" w:name="_Toc516367021"/>
      <w:r/>
      <w:bookmarkStart w:id="232" w:name="_Toc151190154"/>
      <w:r/>
      <w:bookmarkStart w:id="233" w:name="_Toc127151728"/>
      <w:r/>
      <w:bookmarkStart w:id="234" w:name="_Toc142311029"/>
      <w:r/>
      <w:bookmarkStart w:id="235" w:name="_Toc164229222"/>
      <w:r/>
      <w:bookmarkStart w:id="236" w:name="_Toc127151527"/>
      <w:r/>
      <w:bookmarkStart w:id="237" w:name="_Toc164608796"/>
      <w:r/>
      <w:bookmarkStart w:id="238" w:name="_Toc164351621"/>
      <w:r/>
      <w:bookmarkStart w:id="239" w:name="_Toc150480765"/>
      <w:r/>
      <w:bookmarkStart w:id="240" w:name="_Toc226309771"/>
      <w:r/>
      <w:bookmarkStart w:id="241" w:name="_Toc305158795"/>
      <w:r/>
      <w:bookmarkStart w:id="242" w:name="_Toc150774627"/>
      <w:r/>
      <w:bookmarkStart w:id="243" w:name="_Toc305158869"/>
      <w:r/>
      <w:bookmarkStart w:id="244" w:name="_Toc149720820"/>
      <w:r/>
      <w:bookmarkStart w:id="245" w:name="_Toc195842892"/>
      <w:r/>
      <w:bookmarkStart w:id="246" w:name="_Toc151193841"/>
      <w:r/>
      <w:bookmarkStart w:id="247" w:name="_Toc151193625"/>
      <w:r/>
      <w:bookmarkStart w:id="248" w:name="_Toc151193915"/>
      <w:r/>
      <w:bookmarkStart w:id="249" w:name="_Toc265228365"/>
      <w:r/>
      <w:bookmarkStart w:id="250" w:name="_Toc226965800"/>
      <w:r/>
      <w:bookmarkStart w:id="251" w:name="_Toc264969217"/>
      <w:r/>
      <w:bookmarkStart w:id="252" w:name="_Toc150774732"/>
      <w:r/>
      <w:bookmarkStart w:id="253" w:name="_Toc151193697"/>
      <w:r/>
      <w:bookmarkStart w:id="254" w:name="_Toc226965717"/>
      <w:r/>
      <w:bookmarkStart w:id="255" w:name="_Toc150509278"/>
      <w:r/>
      <w:bookmarkStart w:id="256" w:name="_Toc151193769"/>
      <w:r/>
      <w:bookmarkStart w:id="257" w:name="_Toc520356151"/>
      <w:r/>
      <w:bookmarkStart w:id="258" w:name="_Toc164229368"/>
      <w:r>
        <w:rPr>
          <w:rFonts w:ascii="宋体" w:hAnsi="宋体"/>
          <w:color w:val="auto"/>
          <w:sz w:val="24"/>
          <w:highlight w:val="none"/>
        </w:rPr>
        <w:t xml:space="preserve">投标范围、投标文件中计量单位的使用</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rFonts w:ascii="宋体" w:hAnsi="宋体"/>
          <w:color w:val="auto"/>
          <w:sz w:val="24"/>
          <w:highlight w:val="none"/>
        </w:rPr>
        <w:t xml:space="preserve">及投标语言</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 xml:space="preserve">无效投标</w:t>
      </w:r>
      <w:r>
        <w:rPr>
          <w:rFonts w:ascii="宋体" w:hAnsi="宋体"/>
          <w:color w:val="auto"/>
          <w:sz w:val="24"/>
          <w:highlight w:val="none"/>
        </w:rPr>
        <w:t xml:space="preserve">。</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259" w:name="_Ref467306676"/>
      <w:r/>
      <w:bookmarkStart w:id="260" w:name="_Ref467306195"/>
      <w:r/>
      <w:bookmarkStart w:id="261" w:name="_Toc516367022"/>
      <w:r/>
      <w:bookmarkStart w:id="262" w:name="_Toc226337224"/>
      <w:r/>
      <w:bookmarkStart w:id="263" w:name="_Toc142311030"/>
      <w:r/>
      <w:bookmarkStart w:id="264" w:name="_Toc127161442"/>
      <w:r/>
      <w:bookmarkStart w:id="265" w:name="_Toc164229369"/>
      <w:r/>
      <w:bookmarkStart w:id="266" w:name="_Toc226965718"/>
      <w:r/>
      <w:bookmarkStart w:id="267" w:name="_Toc151193842"/>
      <w:r/>
      <w:bookmarkStart w:id="268" w:name="_Toc164608797"/>
      <w:r/>
      <w:bookmarkStart w:id="269" w:name="_Toc151193626"/>
      <w:r/>
      <w:bookmarkStart w:id="270" w:name="_Toc305158796"/>
      <w:r/>
      <w:bookmarkStart w:id="271" w:name="_Toc264969218"/>
      <w:r/>
      <w:bookmarkStart w:id="272" w:name="_Toc164229223"/>
      <w:r/>
      <w:bookmarkStart w:id="273" w:name="_Toc151190155"/>
      <w:r/>
      <w:bookmarkStart w:id="274" w:name="_Toc150774733"/>
      <w:r/>
      <w:bookmarkStart w:id="275" w:name="_Toc151193916"/>
      <w:r/>
      <w:bookmarkStart w:id="276" w:name="_Toc520356152"/>
      <w:r/>
      <w:bookmarkStart w:id="277" w:name="_Toc151193698"/>
      <w:r/>
      <w:bookmarkStart w:id="278" w:name="_Toc305158870"/>
      <w:r/>
      <w:bookmarkStart w:id="279" w:name="_Toc150774628"/>
      <w:r/>
      <w:bookmarkStart w:id="280" w:name="_Toc265228366"/>
      <w:r/>
      <w:bookmarkStart w:id="281" w:name="_Toc151193770"/>
      <w:r/>
      <w:bookmarkStart w:id="282" w:name="_Toc127151528"/>
      <w:r/>
      <w:bookmarkStart w:id="283" w:name="_Toc195842893"/>
      <w:r/>
      <w:bookmarkStart w:id="284" w:name="_Toc127151729"/>
      <w:r/>
      <w:bookmarkStart w:id="285" w:name="_Toc226309772"/>
      <w:r/>
      <w:bookmarkStart w:id="286" w:name="_Toc150480766"/>
      <w:r/>
      <w:bookmarkStart w:id="287" w:name="_Toc164351622"/>
      <w:r/>
      <w:bookmarkStart w:id="288" w:name="_Toc150509279"/>
      <w:r/>
      <w:bookmarkStart w:id="289" w:name="_Toc164608642"/>
      <w:r/>
      <w:bookmarkStart w:id="290" w:name="_Toc149720821"/>
      <w:r/>
      <w:bookmarkStart w:id="291" w:name="_Toc226965801"/>
      <w:r>
        <w:rPr>
          <w:rFonts w:ascii="宋体" w:hAnsi="宋体"/>
          <w:color w:val="auto"/>
          <w:sz w:val="24"/>
          <w:highlight w:val="none"/>
        </w:rPr>
        <w:t xml:space="preserve">投标文件</w:t>
      </w:r>
      <w:bookmarkEnd w:id="259"/>
      <w:r/>
      <w:bookmarkEnd w:id="260"/>
      <w:r/>
      <w:bookmarkEnd w:id="261"/>
      <w:r>
        <w:rPr>
          <w:rFonts w:ascii="宋体" w:hAnsi="宋体"/>
          <w:color w:val="auto"/>
          <w:sz w:val="24"/>
          <w:highlight w:val="none"/>
        </w:rPr>
        <w:t xml:space="preserve">构成</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bookmarkStart w:id="292" w:name="_Ref467052588"/>
      <w:r>
        <w:rPr>
          <w:rFonts w:ascii="宋体" w:hAnsi="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投标人认为应附的其他材料。</w:t>
      </w:r>
      <w:bookmarkEnd w:id="292"/>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293" w:name="_Toc150509281"/>
      <w:r/>
      <w:bookmarkStart w:id="294" w:name="_Toc164608799"/>
      <w:r/>
      <w:bookmarkStart w:id="295" w:name="_Toc151190157"/>
      <w:r/>
      <w:bookmarkStart w:id="296" w:name="_Toc520356155"/>
      <w:r/>
      <w:bookmarkStart w:id="297" w:name="_Toc164229225"/>
      <w:r/>
      <w:bookmarkStart w:id="298" w:name="_Toc151193700"/>
      <w:r/>
      <w:bookmarkStart w:id="299" w:name="_Toc127151530"/>
      <w:r/>
      <w:bookmarkStart w:id="300" w:name="_Toc127161444"/>
      <w:r/>
      <w:bookmarkStart w:id="301" w:name="_Toc127151731"/>
      <w:r/>
      <w:bookmarkStart w:id="302" w:name="_Toc151193772"/>
      <w:r/>
      <w:bookmarkStart w:id="303" w:name="_Toc151193628"/>
      <w:r/>
      <w:bookmarkStart w:id="304" w:name="_Toc164351624"/>
      <w:r/>
      <w:bookmarkStart w:id="305" w:name="_Toc151193918"/>
      <w:r/>
      <w:bookmarkStart w:id="306" w:name="_Toc164608644"/>
      <w:r/>
      <w:bookmarkStart w:id="307" w:name="_Toc149720823"/>
      <w:r/>
      <w:bookmarkStart w:id="308" w:name="_Toc164229371"/>
      <w:r/>
      <w:bookmarkStart w:id="309" w:name="_Toc150774735"/>
      <w:r/>
      <w:bookmarkStart w:id="310" w:name="_Toc150774630"/>
      <w:r/>
      <w:bookmarkStart w:id="311" w:name="_Toc150480768"/>
      <w:r/>
      <w:bookmarkStart w:id="312" w:name="_Toc195842895"/>
      <w:r/>
      <w:bookmarkStart w:id="313" w:name="_Toc142311032"/>
      <w:r/>
      <w:bookmarkStart w:id="314" w:name="_Toc151193844"/>
      <w:r>
        <w:rPr>
          <w:rFonts w:ascii="宋体" w:hAnsi="宋体"/>
          <w:color w:val="auto"/>
          <w:sz w:val="24"/>
          <w:highlight w:val="none"/>
        </w:rPr>
        <w:t xml:space="preserve">投标报价</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所有投标均以人民币报价。</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投标人的报价应包括为完成本项目所发生的一切费用和税费，招标人将不再支付报价以外的任何费用。</w:t>
      </w:r>
      <w:r>
        <w:rPr>
          <w:rFonts w:hint="eastAsia" w:ascii="宋体" w:hAnsi="宋体"/>
          <w:color w:val="auto"/>
          <w:sz w:val="24"/>
          <w:highlight w:val="none"/>
        </w:rPr>
        <w:t xml:space="preserve">投标人的报价应包括但不限于下列内容，《投标人须知资料表》中有特殊规定的，从其规定。</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采购人不得向</w:t>
      </w:r>
      <w:r>
        <w:rPr>
          <w:rFonts w:hint="eastAsia" w:ascii="宋体" w:hAnsi="宋体"/>
          <w:color w:val="auto"/>
          <w:sz w:val="24"/>
          <w:highlight w:val="none"/>
        </w:rPr>
        <w:t xml:space="preserve">投标人</w:t>
      </w:r>
      <w:r>
        <w:rPr>
          <w:rFonts w:ascii="宋体" w:hAnsi="宋体"/>
          <w:color w:val="auto"/>
          <w:sz w:val="24"/>
          <w:highlight w:val="none"/>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投标人不能提供任何有选择性或可调整的报价，否则其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315" w:name="_Toc164229372"/>
      <w:r/>
      <w:bookmarkStart w:id="316" w:name="_Toc164608800"/>
      <w:r/>
      <w:bookmarkStart w:id="317" w:name="_Toc226309775"/>
      <w:r/>
      <w:bookmarkStart w:id="318" w:name="_Toc520356156"/>
      <w:r/>
      <w:bookmarkStart w:id="319" w:name="_Toc151193629"/>
      <w:r/>
      <w:bookmarkStart w:id="320" w:name="_Toc151193919"/>
      <w:r/>
      <w:bookmarkStart w:id="321" w:name="_Toc305158873"/>
      <w:r/>
      <w:bookmarkStart w:id="322" w:name="_Toc164351625"/>
      <w:r/>
      <w:bookmarkStart w:id="323" w:name="_Toc151193845"/>
      <w:r/>
      <w:bookmarkStart w:id="324" w:name="_Toc164229226"/>
      <w:r/>
      <w:bookmarkStart w:id="325" w:name="_Toc164608645"/>
      <w:r/>
      <w:bookmarkStart w:id="326" w:name="_Toc151193773"/>
      <w:r/>
      <w:bookmarkStart w:id="327" w:name="_Toc149720824"/>
      <w:r/>
      <w:bookmarkStart w:id="328" w:name="_Toc127151531"/>
      <w:r/>
      <w:bookmarkStart w:id="329" w:name="_Toc142311033"/>
      <w:r/>
      <w:bookmarkStart w:id="330" w:name="_Toc265228369"/>
      <w:r/>
      <w:bookmarkStart w:id="331" w:name="_Toc127151732"/>
      <w:r/>
      <w:bookmarkStart w:id="332" w:name="_Toc150774631"/>
      <w:r/>
      <w:bookmarkStart w:id="333" w:name="_Toc226337227"/>
      <w:r/>
      <w:bookmarkStart w:id="334" w:name="_Toc150509282"/>
      <w:r/>
      <w:bookmarkStart w:id="335" w:name="_Ref467306513"/>
      <w:r/>
      <w:bookmarkStart w:id="336" w:name="_Toc226965721"/>
      <w:r/>
      <w:bookmarkStart w:id="337" w:name="_Toc151193701"/>
      <w:r/>
      <w:bookmarkStart w:id="338" w:name="_Toc226965804"/>
      <w:r/>
      <w:bookmarkStart w:id="339" w:name="_Toc195842896"/>
      <w:r/>
      <w:bookmarkStart w:id="340" w:name="_Toc127161445"/>
      <w:r/>
      <w:bookmarkStart w:id="341" w:name="_Toc150774736"/>
      <w:r/>
      <w:bookmarkStart w:id="342" w:name="_Toc151190158"/>
      <w:r/>
      <w:bookmarkStart w:id="343" w:name="_Toc305158799"/>
      <w:r/>
      <w:bookmarkStart w:id="344" w:name="_Toc264969221"/>
      <w:r/>
      <w:bookmarkStart w:id="345" w:name="_Toc150480769"/>
      <w:r>
        <w:rPr>
          <w:rFonts w:ascii="宋体" w:hAnsi="宋体"/>
          <w:color w:val="auto"/>
          <w:sz w:val="24"/>
          <w:highlight w:val="none"/>
        </w:rPr>
        <w:t xml:space="preserve">投标保证金</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left="357"/>
        <w:spacing w:line="360" w:lineRule="auto"/>
        <w:tabs>
          <w:tab w:val="left" w:pos="360" w:leader="none"/>
        </w:tabs>
        <w:rPr>
          <w:rFonts w:ascii="宋体" w:hAnsi="宋体"/>
          <w:color w:val="auto"/>
          <w:sz w:val="24"/>
          <w:highlight w:val="none"/>
        </w:rPr>
        <w:outlineLvl w:val="1"/>
      </w:pPr>
      <w:r>
        <w:rPr>
          <w:rFonts w:hint="eastAsia" w:ascii="宋体" w:hAnsi="宋体"/>
          <w:color w:val="auto"/>
          <w:sz w:val="24"/>
          <w:highlight w:val="none"/>
        </w:rPr>
        <w:t xml:space="preserve">根据江苏省和常州市的相关文件规定，免收投标保证金。</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346" w:name="_Toc164608646"/>
      <w:r/>
      <w:bookmarkStart w:id="347" w:name="_Toc305158800"/>
      <w:r/>
      <w:bookmarkStart w:id="348" w:name="_Toc151193702"/>
      <w:r/>
      <w:bookmarkStart w:id="349" w:name="_Toc149720825"/>
      <w:r/>
      <w:bookmarkStart w:id="350" w:name="_Toc305158874"/>
      <w:r/>
      <w:bookmarkStart w:id="351" w:name="_Toc151193920"/>
      <w:r/>
      <w:bookmarkStart w:id="352" w:name="_Toc195842897"/>
      <w:r/>
      <w:bookmarkStart w:id="353" w:name="_Toc164608801"/>
      <w:r/>
      <w:bookmarkStart w:id="354" w:name="_Toc151193630"/>
      <w:r/>
      <w:bookmarkStart w:id="355" w:name="_Toc265228370"/>
      <w:r/>
      <w:bookmarkStart w:id="356" w:name="_Toc164229227"/>
      <w:r/>
      <w:bookmarkStart w:id="357" w:name="_Toc226965805"/>
      <w:r/>
      <w:bookmarkStart w:id="358" w:name="_Toc151193774"/>
      <w:r/>
      <w:bookmarkStart w:id="359" w:name="_Toc150774632"/>
      <w:r/>
      <w:bookmarkStart w:id="360" w:name="_Toc150480770"/>
      <w:r/>
      <w:bookmarkStart w:id="361" w:name="_Toc127151532"/>
      <w:r/>
      <w:bookmarkStart w:id="362" w:name="_Toc150774737"/>
      <w:r/>
      <w:bookmarkStart w:id="363" w:name="_Toc151190159"/>
      <w:r/>
      <w:bookmarkStart w:id="364" w:name="_Toc226337228"/>
      <w:r/>
      <w:bookmarkStart w:id="365" w:name="_Toc151193846"/>
      <w:r/>
      <w:bookmarkStart w:id="366" w:name="_Toc164229373"/>
      <w:r/>
      <w:bookmarkStart w:id="367" w:name="_Toc142311034"/>
      <w:r/>
      <w:bookmarkStart w:id="368" w:name="_Toc264969222"/>
      <w:r/>
      <w:bookmarkStart w:id="369" w:name="_Toc226965722"/>
      <w:r/>
      <w:bookmarkStart w:id="370" w:name="_Toc150509283"/>
      <w:r/>
      <w:bookmarkStart w:id="371" w:name="_Toc164351626"/>
      <w:r/>
      <w:bookmarkStart w:id="372" w:name="_Toc226309776"/>
      <w:r/>
      <w:bookmarkStart w:id="373" w:name="_Toc127161446"/>
      <w:r/>
      <w:bookmarkStart w:id="374" w:name="_Toc127151733"/>
      <w:r/>
      <w:bookmarkStart w:id="375" w:name="_Toc520356157"/>
      <w:r>
        <w:rPr>
          <w:rFonts w:ascii="宋体" w:hAnsi="宋体"/>
          <w:color w:val="auto"/>
          <w:sz w:val="24"/>
          <w:highlight w:val="none"/>
        </w:rPr>
        <w:t xml:space="preserve">投标有效期</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应在本招标文件《投标人须知资料表》中规定的投标有效期内保持有效，投标有效期少于招标文件规定期限的，其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376" w:name="_Toc127161447"/>
      <w:r/>
      <w:bookmarkStart w:id="377" w:name="_Toc226309777"/>
      <w:r/>
      <w:bookmarkStart w:id="378" w:name="_Toc142311035"/>
      <w:r/>
      <w:bookmarkStart w:id="379" w:name="_Toc226965806"/>
      <w:r/>
      <w:bookmarkStart w:id="380" w:name="_Toc226337229"/>
      <w:r/>
      <w:bookmarkStart w:id="381" w:name="_Toc150509284"/>
      <w:r/>
      <w:bookmarkStart w:id="382" w:name="_Toc195842898"/>
      <w:r/>
      <w:bookmarkStart w:id="383" w:name="_Toc150774633"/>
      <w:r/>
      <w:bookmarkStart w:id="384" w:name="_Toc164608647"/>
      <w:r/>
      <w:bookmarkStart w:id="385" w:name="_Toc164351627"/>
      <w:r/>
      <w:bookmarkStart w:id="386" w:name="_Toc264969223"/>
      <w:r/>
      <w:bookmarkStart w:id="387" w:name="_Toc151193775"/>
      <w:r/>
      <w:bookmarkStart w:id="388" w:name="_Toc127151533"/>
      <w:r/>
      <w:bookmarkStart w:id="389" w:name="_Toc164229228"/>
      <w:r/>
      <w:bookmarkStart w:id="390" w:name="_Toc150480771"/>
      <w:r/>
      <w:bookmarkStart w:id="391" w:name="_Toc226965723"/>
      <w:r/>
      <w:bookmarkStart w:id="392" w:name="_Toc520356158"/>
      <w:r/>
      <w:bookmarkStart w:id="393" w:name="_Toc151193847"/>
      <w:r/>
      <w:bookmarkStart w:id="394" w:name="_Toc151193631"/>
      <w:r/>
      <w:bookmarkStart w:id="395" w:name="_Toc164608802"/>
      <w:r/>
      <w:bookmarkStart w:id="396" w:name="_Toc151190160"/>
      <w:r/>
      <w:bookmarkStart w:id="397" w:name="_Toc265228371"/>
      <w:r/>
      <w:bookmarkStart w:id="398" w:name="_Toc127151734"/>
      <w:r/>
      <w:bookmarkStart w:id="399" w:name="_Toc305158801"/>
      <w:r/>
      <w:bookmarkStart w:id="400" w:name="_Toc151193703"/>
      <w:r/>
      <w:bookmarkStart w:id="401" w:name="_Toc151193921"/>
      <w:r/>
      <w:bookmarkStart w:id="402" w:name="_Toc149720826"/>
      <w:r/>
      <w:bookmarkStart w:id="403" w:name="_Toc164229374"/>
      <w:r/>
      <w:bookmarkStart w:id="404" w:name="_Toc305158875"/>
      <w:r/>
      <w:bookmarkStart w:id="405" w:name="_Toc150774738"/>
      <w:r>
        <w:rPr>
          <w:rFonts w:ascii="宋体" w:hAnsi="宋体"/>
          <w:color w:val="auto"/>
          <w:sz w:val="24"/>
          <w:highlight w:val="none"/>
        </w:rPr>
        <w:t xml:space="preserve">投标文件的签署</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ascii="宋体" w:hAnsi="宋体"/>
          <w:color w:val="auto"/>
          <w:sz w:val="24"/>
          <w:highlight w:val="none"/>
        </w:rPr>
        <w:t xml:space="preserve">、加盖公章</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bookmarkStart w:id="406" w:name="_Toc150774634"/>
      <w:r/>
      <w:bookmarkStart w:id="407" w:name="_Toc151190161"/>
      <w:r/>
      <w:bookmarkStart w:id="408" w:name="_Toc150774739"/>
      <w:r/>
      <w:bookmarkStart w:id="409" w:name="_Toc151193848"/>
      <w:r/>
      <w:bookmarkStart w:id="410" w:name="_Toc305158876"/>
      <w:r/>
      <w:bookmarkStart w:id="411" w:name="_Toc150480772"/>
      <w:r/>
      <w:bookmarkStart w:id="412" w:name="_Toc264969224"/>
      <w:r/>
      <w:bookmarkStart w:id="413" w:name="_Toc127151534"/>
      <w:r/>
      <w:bookmarkStart w:id="414" w:name="_Toc226965807"/>
      <w:r/>
      <w:bookmarkStart w:id="415" w:name="_Toc226965724"/>
      <w:r/>
      <w:bookmarkStart w:id="416" w:name="_Toc195842899"/>
      <w:r/>
      <w:bookmarkStart w:id="417" w:name="_Toc151193776"/>
      <w:r/>
      <w:bookmarkStart w:id="418" w:name="_Toc151193704"/>
      <w:r/>
      <w:bookmarkStart w:id="419" w:name="_Toc150509285"/>
      <w:r/>
      <w:bookmarkStart w:id="420" w:name="_Toc226309778"/>
      <w:r/>
      <w:bookmarkStart w:id="421" w:name="_Toc305158802"/>
      <w:r/>
      <w:bookmarkStart w:id="422" w:name="_Toc265228372"/>
      <w:r/>
      <w:bookmarkStart w:id="423" w:name="_Toc151193922"/>
      <w:r/>
      <w:bookmarkStart w:id="424" w:name="_Toc151193632"/>
      <w:r/>
      <w:bookmarkStart w:id="425" w:name="_Toc520356159"/>
      <w:r/>
      <w:bookmarkStart w:id="426" w:name="_Toc226337230"/>
      <w:r/>
      <w:bookmarkStart w:id="427" w:name="_Toc142311036"/>
      <w:r>
        <w:rPr>
          <w:rFonts w:ascii="宋体" w:hAnsi="宋体"/>
          <w:color w:val="auto"/>
          <w:sz w:val="24"/>
          <w:highlight w:val="none"/>
        </w:rPr>
        <w:t xml:space="preserve">招标文件要求签字的内容（如授权委托书等），</w:t>
      </w:r>
      <w:r>
        <w:rPr>
          <w:rFonts w:hint="eastAsia" w:ascii="宋体" w:hAnsi="宋体"/>
          <w:color w:val="auto"/>
          <w:sz w:val="24"/>
          <w:highlight w:val="none"/>
        </w:rPr>
        <w:t xml:space="preserve">可以使用电子签章或使用原件的电子件（电子件指扫描件、照片等形式电子文件）；要求</w:t>
      </w:r>
      <w:r>
        <w:rPr>
          <w:rFonts w:ascii="宋体" w:hAnsi="宋体"/>
          <w:color w:val="auto"/>
          <w:sz w:val="24"/>
          <w:highlight w:val="none"/>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招标文件要求加盖公章的内容，</w:t>
      </w:r>
      <w:r>
        <w:rPr>
          <w:rFonts w:hint="eastAsia" w:ascii="宋体" w:hAnsi="宋体"/>
          <w:color w:val="auto"/>
          <w:sz w:val="24"/>
          <w:highlight w:val="none"/>
        </w:rPr>
        <w:t xml:space="preserve">一般</w:t>
      </w:r>
      <w:r>
        <w:rPr>
          <w:rFonts w:ascii="宋体" w:hAnsi="宋体"/>
          <w:color w:val="auto"/>
          <w:sz w:val="24"/>
          <w:highlight w:val="none"/>
        </w:rPr>
        <w:t xml:space="preserve">通过投标文件编制工具加盖电子签章。</w:t>
      </w:r>
      <w:r/>
    </w:p>
    <w:p>
      <w:pPr>
        <w:ind w:left="357"/>
        <w:spacing w:line="360" w:lineRule="auto"/>
        <w:tabs>
          <w:tab w:val="left" w:pos="900" w:leader="none"/>
          <w:tab w:val="left" w:pos="1080" w:leader="none"/>
        </w:tabs>
        <w:rPr>
          <w:rFonts w:ascii="宋体" w:hAnsi="宋体"/>
          <w:color w:val="auto"/>
          <w:highlight w:val="none"/>
        </w:rPr>
      </w:pPr>
      <w:r>
        <w:rPr>
          <w:rFonts w:ascii="宋体" w:hAnsi="宋体"/>
          <w:color w:val="auto"/>
          <w:highlight w:val="none"/>
        </w:rPr>
      </w:r>
      <w:r/>
    </w:p>
    <w:p>
      <w:pPr>
        <w:pStyle w:val="860"/>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四   投标文件的提交</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428" w:name="_Toc305158877"/>
      <w:r/>
      <w:bookmarkStart w:id="429" w:name="_Toc520356160"/>
      <w:r/>
      <w:bookmarkStart w:id="430" w:name="_Toc164608804"/>
      <w:r/>
      <w:bookmarkStart w:id="431" w:name="_Toc127151535"/>
      <w:r/>
      <w:bookmarkStart w:id="432" w:name="_Toc226965725"/>
      <w:r/>
      <w:bookmarkStart w:id="433" w:name="_Toc195842900"/>
      <w:r/>
      <w:bookmarkStart w:id="434" w:name="_Toc164229230"/>
      <w:r/>
      <w:bookmarkStart w:id="435" w:name="_Toc164608649"/>
      <w:r/>
      <w:bookmarkStart w:id="436" w:name="_Toc150774740"/>
      <w:r/>
      <w:bookmarkStart w:id="437" w:name="_Toc127151736"/>
      <w:r/>
      <w:bookmarkStart w:id="438" w:name="_Toc226309779"/>
      <w:r/>
      <w:bookmarkStart w:id="439" w:name="_Toc150509286"/>
      <w:r/>
      <w:bookmarkStart w:id="440" w:name="_Toc151193923"/>
      <w:r/>
      <w:bookmarkStart w:id="441" w:name="_Toc164351629"/>
      <w:r/>
      <w:bookmarkStart w:id="442" w:name="_Toc226337231"/>
      <w:r/>
      <w:bookmarkStart w:id="443" w:name="_Toc151193849"/>
      <w:r/>
      <w:bookmarkStart w:id="444" w:name="_Toc142311037"/>
      <w:r/>
      <w:bookmarkStart w:id="445" w:name="_Toc151193777"/>
      <w:r/>
      <w:bookmarkStart w:id="446" w:name="_Toc150774635"/>
      <w:r/>
      <w:bookmarkStart w:id="447" w:name="_Toc151193633"/>
      <w:r/>
      <w:bookmarkStart w:id="448" w:name="_Toc151190162"/>
      <w:r/>
      <w:bookmarkStart w:id="449" w:name="_Toc226965808"/>
      <w:r/>
      <w:bookmarkStart w:id="450" w:name="_Toc305158803"/>
      <w:r/>
      <w:bookmarkStart w:id="451" w:name="_Toc151193705"/>
      <w:r/>
      <w:bookmarkStart w:id="452" w:name="_Toc265228373"/>
      <w:r/>
      <w:bookmarkStart w:id="453" w:name="_Toc264969225"/>
      <w:r/>
      <w:bookmarkStart w:id="454" w:name="_Toc150480773"/>
      <w:r/>
      <w:bookmarkStart w:id="455" w:name="_Toc149720828"/>
      <w:r/>
      <w:bookmarkStart w:id="456" w:name="_Toc127161449"/>
      <w:r/>
      <w:bookmarkStart w:id="457" w:name="_Toc164229376"/>
      <w:r>
        <w:rPr>
          <w:rFonts w:ascii="宋体" w:hAnsi="宋体"/>
          <w:color w:val="auto"/>
          <w:sz w:val="24"/>
          <w:highlight w:val="none"/>
        </w:rPr>
        <w:t xml:space="preserve">投标文件的</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宋体" w:hAnsi="宋体"/>
          <w:color w:val="auto"/>
          <w:sz w:val="24"/>
          <w:highlight w:val="none"/>
        </w:rPr>
        <w:t xml:space="preserve">提交</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。投标人根据招标文件及</w:t>
      </w:r>
      <w:r>
        <w:rPr>
          <w:rFonts w:hint="eastAsia" w:ascii="宋体" w:hAnsi="宋体"/>
          <w:color w:val="auto"/>
          <w:sz w:val="24"/>
          <w:highlight w:val="none"/>
        </w:rPr>
        <w:t xml:space="preserve">“苏采云”政府采购一体化平台 投标人</w:t>
      </w:r>
      <w:r>
        <w:rPr>
          <w:rFonts w:ascii="宋体" w:hAnsi="宋体"/>
          <w:color w:val="auto"/>
          <w:sz w:val="24"/>
          <w:highlight w:val="none"/>
        </w:rPr>
        <w:t xml:space="preserve">操作手册要求编制、生成并提交电子投标文件。</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以外任何形式提交的投标文件。</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458" w:name="_Toc164229231"/>
      <w:r/>
      <w:bookmarkStart w:id="459" w:name="_Toc151193706"/>
      <w:r/>
      <w:bookmarkStart w:id="460" w:name="_Toc164351630"/>
      <w:r/>
      <w:bookmarkStart w:id="461" w:name="_Toc150480774"/>
      <w:r/>
      <w:bookmarkStart w:id="462" w:name="_Toc150774636"/>
      <w:r/>
      <w:bookmarkStart w:id="463" w:name="_Toc151193778"/>
      <w:r/>
      <w:bookmarkStart w:id="464" w:name="_Toc305158878"/>
      <w:r/>
      <w:bookmarkStart w:id="465" w:name="_Toc164608650"/>
      <w:r/>
      <w:bookmarkStart w:id="466" w:name="_Toc164608805"/>
      <w:r/>
      <w:bookmarkStart w:id="467" w:name="_Toc226965726"/>
      <w:r/>
      <w:bookmarkStart w:id="468" w:name="_Toc226309780"/>
      <w:r/>
      <w:bookmarkStart w:id="469" w:name="_Toc127151536"/>
      <w:r/>
      <w:bookmarkStart w:id="470" w:name="_Toc127161450"/>
      <w:r/>
      <w:bookmarkStart w:id="471" w:name="_Toc149720829"/>
      <w:r/>
      <w:bookmarkStart w:id="472" w:name="_Toc151193924"/>
      <w:r/>
      <w:bookmarkStart w:id="473" w:name="_Toc305158804"/>
      <w:r/>
      <w:bookmarkStart w:id="474" w:name="_Toc265228374"/>
      <w:r/>
      <w:bookmarkStart w:id="475" w:name="_Toc151190163"/>
      <w:r/>
      <w:bookmarkStart w:id="476" w:name="_Toc520356161"/>
      <w:r/>
      <w:bookmarkStart w:id="477" w:name="_Toc226965809"/>
      <w:r/>
      <w:bookmarkStart w:id="478" w:name="_Toc151193850"/>
      <w:r/>
      <w:bookmarkStart w:id="479" w:name="_Toc195842901"/>
      <w:r/>
      <w:bookmarkStart w:id="480" w:name="_Toc151193634"/>
      <w:r/>
      <w:bookmarkStart w:id="481" w:name="_Toc264969226"/>
      <w:r/>
      <w:bookmarkStart w:id="482" w:name="_Toc127151737"/>
      <w:r/>
      <w:bookmarkStart w:id="483" w:name="_Toc164229377"/>
      <w:r/>
      <w:bookmarkStart w:id="484" w:name="_Toc150774741"/>
      <w:r/>
      <w:bookmarkStart w:id="485" w:name="_Toc226337232"/>
      <w:r/>
      <w:bookmarkStart w:id="486" w:name="_Toc142311038"/>
      <w:r/>
      <w:bookmarkStart w:id="487" w:name="_Toc150509287"/>
      <w:r>
        <w:rPr>
          <w:rFonts w:ascii="宋体" w:hAnsi="宋体"/>
          <w:color w:val="auto"/>
          <w:sz w:val="24"/>
          <w:highlight w:val="none"/>
        </w:rPr>
        <w:t xml:space="preserve">投标截止</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ascii="宋体" w:hAnsi="宋体"/>
          <w:color w:val="auto"/>
          <w:sz w:val="24"/>
          <w:highlight w:val="none"/>
        </w:rPr>
        <w:t xml:space="preserve">时间</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488" w:name="_Toc150774742"/>
      <w:r/>
      <w:bookmarkStart w:id="489" w:name="_Toc151193635"/>
      <w:r/>
      <w:bookmarkStart w:id="490" w:name="_Toc226309781"/>
      <w:r/>
      <w:bookmarkStart w:id="491" w:name="_Toc226337233"/>
      <w:r/>
      <w:bookmarkStart w:id="492" w:name="_Toc226965810"/>
      <w:r/>
      <w:bookmarkStart w:id="493" w:name="_Toc305158805"/>
      <w:r/>
      <w:bookmarkStart w:id="494" w:name="_Toc150774637"/>
      <w:r/>
      <w:bookmarkStart w:id="495" w:name="_Toc164351631"/>
      <w:r/>
      <w:bookmarkStart w:id="496" w:name="_Toc142311039"/>
      <w:r/>
      <w:bookmarkStart w:id="497" w:name="_Toc195842902"/>
      <w:r/>
      <w:bookmarkStart w:id="498" w:name="_Toc164229232"/>
      <w:r/>
      <w:bookmarkStart w:id="499" w:name="_Toc127151537"/>
      <w:r/>
      <w:bookmarkStart w:id="500" w:name="_Toc520356162"/>
      <w:r/>
      <w:bookmarkStart w:id="501" w:name="_Toc127151738"/>
      <w:r/>
      <w:bookmarkStart w:id="502" w:name="_Toc226965727"/>
      <w:r/>
      <w:bookmarkStart w:id="503" w:name="_Toc305158879"/>
      <w:r/>
      <w:bookmarkStart w:id="504" w:name="_Toc150480775"/>
      <w:r/>
      <w:bookmarkStart w:id="505" w:name="_Toc127161451"/>
      <w:r/>
      <w:bookmarkStart w:id="506" w:name="_Toc265228375"/>
      <w:r/>
      <w:bookmarkStart w:id="507" w:name="_Toc150509288"/>
      <w:r/>
      <w:bookmarkStart w:id="508" w:name="_Toc164608806"/>
      <w:r/>
      <w:bookmarkStart w:id="509" w:name="_Toc151193779"/>
      <w:r/>
      <w:bookmarkStart w:id="510" w:name="_Toc151193707"/>
      <w:r/>
      <w:bookmarkStart w:id="511" w:name="_Toc151193851"/>
      <w:r/>
      <w:bookmarkStart w:id="512" w:name="_Toc151193925"/>
      <w:r/>
      <w:bookmarkStart w:id="513" w:name="_Toc264969227"/>
      <w:r/>
      <w:bookmarkStart w:id="514" w:name="_Toc164608651"/>
      <w:r/>
      <w:bookmarkStart w:id="515" w:name="_Toc149720830"/>
      <w:r/>
      <w:bookmarkStart w:id="516" w:name="_Toc164229378"/>
      <w:r/>
      <w:bookmarkStart w:id="517" w:name="_Toc151190164"/>
      <w:r>
        <w:rPr>
          <w:rFonts w:ascii="宋体" w:hAnsi="宋体"/>
          <w:color w:val="auto"/>
          <w:sz w:val="24"/>
          <w:highlight w:val="none"/>
        </w:rPr>
        <w:t xml:space="preserve">投标文件的修改与撤回</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投标人对投标文件的补充、修改的内容应当按照招标文件要求签署、加盖公章，作为投标文件的组成部分。</w:t>
      </w:r>
      <w:r/>
    </w:p>
    <w:p>
      <w:pPr>
        <w:spacing w:line="360" w:lineRule="auto"/>
        <w:rPr>
          <w:rFonts w:ascii="宋体" w:hAnsi="宋体"/>
          <w:color w:val="auto"/>
          <w:sz w:val="24"/>
          <w:highlight w:val="none"/>
        </w:rPr>
      </w:pPr>
      <w:r>
        <w:rPr>
          <w:rFonts w:ascii="宋体" w:hAnsi="宋体"/>
          <w:color w:val="auto"/>
          <w:sz w:val="24"/>
          <w:highlight w:val="none"/>
        </w:rPr>
      </w:r>
      <w:r/>
    </w:p>
    <w:p>
      <w:pPr>
        <w:pStyle w:val="860"/>
        <w:spacing w:before="0" w:line="360" w:lineRule="auto"/>
        <w:rPr>
          <w:rFonts w:ascii="宋体" w:hAnsi="宋体" w:eastAsia="宋体"/>
          <w:color w:val="auto"/>
          <w:sz w:val="28"/>
          <w:highlight w:val="none"/>
        </w:rPr>
      </w:pPr>
      <w:r/>
      <w:bookmarkStart w:id="518" w:name="_Toc305158880"/>
      <w:r/>
      <w:bookmarkStart w:id="519" w:name="_Toc264969228"/>
      <w:r/>
      <w:bookmarkStart w:id="520" w:name="_Toc150774743"/>
      <w:r/>
      <w:bookmarkStart w:id="521" w:name="_Toc151193708"/>
      <w:r/>
      <w:bookmarkStart w:id="522" w:name="_Toc520356163"/>
      <w:r/>
      <w:bookmarkStart w:id="523" w:name="_Toc151193636"/>
      <w:r/>
      <w:bookmarkStart w:id="524" w:name="_Toc150774638"/>
      <w:r/>
      <w:bookmarkStart w:id="525" w:name="_Toc127151538"/>
      <w:r/>
      <w:bookmarkStart w:id="526" w:name="_Toc151193780"/>
      <w:r/>
      <w:bookmarkStart w:id="527" w:name="_Toc226337234"/>
      <w:r/>
      <w:bookmarkStart w:id="528" w:name="_Toc150480776"/>
      <w:r/>
      <w:bookmarkStart w:id="529" w:name="_Toc151193926"/>
      <w:r/>
      <w:bookmarkStart w:id="530" w:name="_Toc226965811"/>
      <w:r/>
      <w:bookmarkStart w:id="531" w:name="_Toc151193852"/>
      <w:r/>
      <w:bookmarkStart w:id="532" w:name="_Toc142311040"/>
      <w:r/>
      <w:bookmarkStart w:id="533" w:name="_Toc305158806"/>
      <w:r/>
      <w:bookmarkStart w:id="534" w:name="_Toc195842903"/>
      <w:r/>
      <w:bookmarkStart w:id="535" w:name="_Toc150509289"/>
      <w:r/>
      <w:bookmarkStart w:id="536" w:name="_Toc151190165"/>
      <w:r/>
      <w:bookmarkStart w:id="537" w:name="_Toc265228376"/>
      <w:r/>
      <w:bookmarkStart w:id="538" w:name="_Toc226309782"/>
      <w:r/>
      <w:bookmarkStart w:id="539" w:name="_Toc226965728"/>
      <w:r>
        <w:rPr>
          <w:rFonts w:ascii="宋体" w:hAnsi="宋体" w:eastAsia="宋体"/>
          <w:color w:val="auto"/>
          <w:sz w:val="28"/>
          <w:highlight w:val="none"/>
        </w:rPr>
        <w:t xml:space="preserve">五   开标、资格审查及评标</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540" w:name="_Toc264969229"/>
      <w:r/>
      <w:bookmarkStart w:id="541" w:name="_Toc151193853"/>
      <w:r/>
      <w:bookmarkStart w:id="542" w:name="_Toc142311041"/>
      <w:r/>
      <w:bookmarkStart w:id="543" w:name="_Toc305158881"/>
      <w:r/>
      <w:bookmarkStart w:id="544" w:name="_Toc195842904"/>
      <w:r/>
      <w:bookmarkStart w:id="545" w:name="_Toc127151740"/>
      <w:r/>
      <w:bookmarkStart w:id="546" w:name="_Toc151193781"/>
      <w:r/>
      <w:bookmarkStart w:id="547" w:name="_Toc149720832"/>
      <w:r/>
      <w:bookmarkStart w:id="548" w:name="_Toc151193927"/>
      <w:r/>
      <w:bookmarkStart w:id="549" w:name="_Toc150774744"/>
      <w:r/>
      <w:bookmarkStart w:id="550" w:name="_Toc226337235"/>
      <w:r/>
      <w:bookmarkStart w:id="551" w:name="_Toc226965729"/>
      <w:r/>
      <w:bookmarkStart w:id="552" w:name="_Toc164608808"/>
      <w:r/>
      <w:bookmarkStart w:id="553" w:name="_Toc265228377"/>
      <w:r/>
      <w:bookmarkStart w:id="554" w:name="_Toc520356164"/>
      <w:r/>
      <w:bookmarkStart w:id="555" w:name="_Toc226309783"/>
      <w:r/>
      <w:bookmarkStart w:id="556" w:name="_Toc226965812"/>
      <w:r/>
      <w:bookmarkStart w:id="557" w:name="_Toc164608653"/>
      <w:r/>
      <w:bookmarkStart w:id="558" w:name="_Toc150509290"/>
      <w:r/>
      <w:bookmarkStart w:id="559" w:name="_Toc151190166"/>
      <w:r/>
      <w:bookmarkStart w:id="560" w:name="_Toc164229234"/>
      <w:r/>
      <w:bookmarkStart w:id="561" w:name="_Toc150774639"/>
      <w:r/>
      <w:bookmarkStart w:id="562" w:name="_Toc151193637"/>
      <w:r/>
      <w:bookmarkStart w:id="563" w:name="_Toc164229380"/>
      <w:r/>
      <w:bookmarkStart w:id="564" w:name="_Toc305158807"/>
      <w:r/>
      <w:bookmarkStart w:id="565" w:name="_Toc150480777"/>
      <w:r/>
      <w:bookmarkStart w:id="566" w:name="_Toc151193709"/>
      <w:r/>
      <w:bookmarkStart w:id="567" w:name="_Toc164351633"/>
      <w:r/>
      <w:bookmarkStart w:id="568" w:name="_Toc127151539"/>
      <w:r/>
      <w:bookmarkStart w:id="569" w:name="_Toc127161453"/>
      <w:r>
        <w:rPr>
          <w:rFonts w:ascii="宋体" w:hAnsi="宋体"/>
          <w:color w:val="auto"/>
          <w:sz w:val="24"/>
          <w:highlight w:val="none"/>
        </w:rPr>
        <w:t xml:space="preserve">开标</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本项目开标采用不见面招投标模式</w:t>
      </w:r>
      <w:r>
        <w:rPr>
          <w:rFonts w:hint="eastAsia" w:ascii="宋体" w:hAnsi="宋体"/>
          <w:color w:val="auto"/>
          <w:sz w:val="24"/>
          <w:highlight w:val="none"/>
        </w:rPr>
        <w:t xml:space="preserve">，</w:t>
      </w:r>
      <w:r>
        <w:rPr>
          <w:rFonts w:ascii="宋体" w:hAnsi="宋体"/>
          <w:color w:val="auto"/>
          <w:sz w:val="24"/>
          <w:highlight w:val="none"/>
        </w:rPr>
        <w:t xml:space="preserve">使用</w:t>
      </w:r>
      <w:r>
        <w:rPr>
          <w:rFonts w:hint="eastAsia" w:ascii="宋体" w:hAnsi="宋体"/>
          <w:color w:val="auto"/>
          <w:sz w:val="24"/>
          <w:highlight w:val="none"/>
        </w:rPr>
        <w:t xml:space="preserve">“苏采云”政府采购一体化平台 在线进行开标</w:t>
      </w:r>
      <w:r>
        <w:rPr>
          <w:rFonts w:ascii="宋体" w:hAnsi="宋体"/>
          <w:color w:val="auto"/>
          <w:sz w:val="24"/>
          <w:highlight w:val="none"/>
        </w:rPr>
        <w:t xml:space="preserve">。投标人应在规定的时间内对投标文件进行解密，因非系统原因导致的解密失败，视为</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开标过程将使用</w:t>
      </w:r>
      <w:r>
        <w:rPr>
          <w:rFonts w:hint="eastAsia" w:ascii="宋体" w:hAnsi="宋体"/>
          <w:color w:val="auto"/>
          <w:sz w:val="24"/>
          <w:highlight w:val="none"/>
        </w:rPr>
        <w:t xml:space="preserve">“苏采云”政府采购一体化平台 公</w:t>
      </w:r>
      <w:r>
        <w:rPr>
          <w:rFonts w:ascii="宋体" w:hAnsi="宋体"/>
          <w:color w:val="auto"/>
          <w:sz w:val="24"/>
          <w:highlight w:val="none"/>
        </w:rPr>
        <w:t xml:space="preserve">布投标人名称、投标价格和招标文件规定的需要宣布的其他内容并进行记录，并由参加开标的各投标人代表</w:t>
      </w:r>
      <w:r>
        <w:rPr>
          <w:rFonts w:hint="eastAsia" w:ascii="宋体" w:hAnsi="宋体"/>
          <w:color w:val="auto"/>
          <w:sz w:val="24"/>
          <w:highlight w:val="none"/>
        </w:rPr>
        <w:t xml:space="preserve">在规定时间内</w:t>
      </w:r>
      <w:r>
        <w:rPr>
          <w:rFonts w:ascii="宋体" w:hAnsi="宋体"/>
          <w:color w:val="auto"/>
          <w:sz w:val="24"/>
          <w:highlight w:val="none"/>
        </w:rPr>
        <w:t xml:space="preserve">确认</w:t>
      </w:r>
      <w:bookmarkStart w:id="570" w:name="_Toc520356165"/>
      <w:r>
        <w:rPr>
          <w:rFonts w:hint="eastAsia" w:ascii="宋体" w:hAnsi="宋体"/>
          <w:color w:val="auto"/>
          <w:sz w:val="24"/>
          <w:highlight w:val="none"/>
        </w:rPr>
        <w:t xml:space="preserve">。投标人超过规定时间未确认但是未提出疑义的，系统将视同已确认</w:t>
      </w:r>
      <w:r>
        <w:rPr>
          <w:rFonts w:ascii="宋体" w:hAnsi="宋体"/>
          <w:color w:val="auto"/>
          <w:sz w:val="24"/>
          <w:highlight w:val="none"/>
        </w:rPr>
        <w:t xml:space="preserve">。</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投标人代表对开标过程和开标记录有疑义，以及认为采购人、采购代理机构相关工作人员有需要回避的情形的，应当场</w:t>
      </w:r>
      <w:r>
        <w:rPr>
          <w:rFonts w:hint="eastAsia" w:ascii="宋体" w:hAnsi="宋体"/>
          <w:color w:val="auto"/>
          <w:sz w:val="24"/>
          <w:highlight w:val="none"/>
        </w:rPr>
        <w:t xml:space="preserve">通过业务系统</w:t>
      </w:r>
      <w:r>
        <w:rPr>
          <w:rFonts w:ascii="宋体" w:hAnsi="宋体"/>
          <w:color w:val="auto"/>
          <w:sz w:val="24"/>
          <w:highlight w:val="none"/>
        </w:rPr>
        <w:t xml:space="preserve">提出询问或者回避申请。采购人、采购代理机构对投标人代表提出的询问或者回避申请将及时处理。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投标人不足3家的，不予开标。</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投标人须在开标前使用“验证CA”功能验证本地计算机的控件环境是否正常，并且在开标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，必须使用验证成功的计算机进行操作，否则造成相应后果由投标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自行承担。本地计算机</w:t>
      </w:r>
      <w:r>
        <w:rPr>
          <w:rFonts w:hint="eastAsia" w:ascii="宋体" w:hAnsi="宋体"/>
          <w:color w:val="auto"/>
          <w:sz w:val="24"/>
          <w:highlight w:val="none"/>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因本项目</w:t>
      </w:r>
      <w:r>
        <w:rPr>
          <w:rFonts w:ascii="宋体" w:hAnsi="宋体"/>
          <w:color w:val="auto"/>
          <w:sz w:val="24"/>
          <w:highlight w:val="none"/>
        </w:rPr>
        <w:t xml:space="preserve">采用不见面交易的</w:t>
      </w:r>
      <w:r>
        <w:rPr>
          <w:rFonts w:hint="eastAsia" w:ascii="宋体" w:hAnsi="宋体"/>
          <w:color w:val="auto"/>
          <w:sz w:val="24"/>
          <w:highlight w:val="none"/>
        </w:rPr>
        <w:t xml:space="preserve">方式</w:t>
      </w:r>
      <w:r>
        <w:rPr>
          <w:rFonts w:ascii="宋体" w:hAnsi="宋体"/>
          <w:color w:val="auto"/>
          <w:sz w:val="24"/>
          <w:highlight w:val="none"/>
        </w:rPr>
        <w:t xml:space="preserve">，在</w:t>
      </w:r>
      <w:r>
        <w:rPr>
          <w:rFonts w:hint="eastAsia" w:ascii="宋体" w:hAnsi="宋体"/>
          <w:color w:val="auto"/>
          <w:sz w:val="24"/>
          <w:highlight w:val="none"/>
        </w:rPr>
        <w:t xml:space="preserve">开标、评审</w:t>
      </w:r>
      <w:r>
        <w:rPr>
          <w:rFonts w:ascii="宋体" w:hAnsi="宋体"/>
          <w:color w:val="auto"/>
          <w:sz w:val="24"/>
          <w:highlight w:val="none"/>
        </w:rPr>
        <w:t xml:space="preserve">过程中，</w:t>
      </w:r>
      <w:r>
        <w:rPr>
          <w:rFonts w:hint="eastAsia" w:ascii="宋体" w:hAnsi="宋体"/>
          <w:color w:val="auto"/>
          <w:sz w:val="24"/>
          <w:highlight w:val="none"/>
        </w:rPr>
        <w:t xml:space="preserve">投标人</w:t>
      </w:r>
      <w:r>
        <w:rPr>
          <w:rFonts w:ascii="宋体" w:hAnsi="宋体"/>
          <w:color w:val="auto"/>
          <w:sz w:val="24"/>
          <w:highlight w:val="none"/>
        </w:rPr>
        <w:t xml:space="preserve">需</w:t>
      </w:r>
      <w:r>
        <w:rPr>
          <w:rFonts w:hint="eastAsia" w:ascii="宋体" w:hAnsi="宋体"/>
          <w:color w:val="auto"/>
          <w:sz w:val="24"/>
          <w:highlight w:val="none"/>
        </w:rPr>
        <w:t xml:space="preserve">要</w:t>
      </w:r>
      <w:r>
        <w:rPr>
          <w:rFonts w:ascii="宋体" w:hAnsi="宋体"/>
          <w:color w:val="auto"/>
          <w:sz w:val="24"/>
          <w:highlight w:val="none"/>
        </w:rPr>
        <w:t xml:space="preserve">保持操作计算机前有相关责任人</w:t>
      </w:r>
      <w:r>
        <w:rPr>
          <w:rFonts w:hint="eastAsia" w:ascii="宋体" w:hAnsi="宋体"/>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 xml:space="preserve">。</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如果在</w:t>
      </w:r>
      <w:r>
        <w:rPr>
          <w:rFonts w:ascii="宋体" w:hAnsi="宋体"/>
          <w:color w:val="auto"/>
          <w:sz w:val="24"/>
          <w:highlight w:val="none"/>
        </w:rPr>
        <w:t xml:space="preserve">采购</w:t>
      </w:r>
      <w:r>
        <w:rPr>
          <w:rFonts w:hint="eastAsia" w:ascii="宋体" w:hAnsi="宋体"/>
          <w:color w:val="auto"/>
          <w:sz w:val="24"/>
          <w:highlight w:val="none"/>
        </w:rPr>
        <w:t xml:space="preserve">活动</w:t>
      </w:r>
      <w:r>
        <w:rPr>
          <w:rFonts w:ascii="宋体" w:hAnsi="宋体"/>
          <w:color w:val="auto"/>
          <w:sz w:val="24"/>
          <w:highlight w:val="none"/>
        </w:rPr>
        <w:t xml:space="preserve">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 xml:space="preserve">无法正常运行，或者无法保证</w:t>
      </w:r>
      <w:r>
        <w:rPr>
          <w:rFonts w:hint="eastAsia" w:ascii="宋体" w:hAnsi="宋体"/>
          <w:color w:val="auto"/>
          <w:sz w:val="24"/>
          <w:highlight w:val="none"/>
        </w:rPr>
        <w:t xml:space="preserve">本项目采购活动</w:t>
      </w:r>
      <w:r>
        <w:rPr>
          <w:rFonts w:ascii="宋体" w:hAnsi="宋体"/>
          <w:color w:val="auto"/>
          <w:sz w:val="24"/>
          <w:highlight w:val="none"/>
        </w:rPr>
        <w:t xml:space="preserve">的公平、公正和安全时，</w:t>
      </w:r>
      <w:r>
        <w:rPr>
          <w:rFonts w:hint="eastAsia" w:ascii="宋体" w:hAnsi="宋体"/>
          <w:color w:val="auto"/>
          <w:sz w:val="24"/>
          <w:highlight w:val="none"/>
        </w:rPr>
        <w:t xml:space="preserve">代理机构</w:t>
      </w:r>
      <w:r>
        <w:rPr>
          <w:rFonts w:ascii="宋体" w:hAnsi="宋体"/>
          <w:color w:val="auto"/>
          <w:sz w:val="24"/>
          <w:highlight w:val="none"/>
        </w:rPr>
        <w:t xml:space="preserve">可</w:t>
      </w:r>
      <w:r>
        <w:rPr>
          <w:rFonts w:hint="eastAsia" w:ascii="宋体" w:hAnsi="宋体"/>
          <w:color w:val="auto"/>
          <w:sz w:val="24"/>
          <w:highlight w:val="none"/>
        </w:rPr>
        <w:t xml:space="preserve">以延缓或者暂停采购活动，情况严重的可以终止采购</w:t>
      </w:r>
      <w:r>
        <w:rPr>
          <w:rFonts w:ascii="宋体" w:hAnsi="宋体"/>
          <w:color w:val="auto"/>
          <w:sz w:val="24"/>
          <w:highlight w:val="none"/>
        </w:rPr>
        <w:t xml:space="preserve">活动：</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病毒发作导致平台</w:t>
      </w:r>
      <w:r>
        <w:rPr>
          <w:rFonts w:hint="eastAsia" w:ascii="宋体" w:hAnsi="宋体"/>
          <w:color w:val="auto"/>
          <w:sz w:val="24"/>
          <w:highlight w:val="none"/>
        </w:rPr>
        <w:t xml:space="preserve">系统</w:t>
      </w:r>
      <w:r>
        <w:rPr>
          <w:rFonts w:ascii="宋体" w:hAnsi="宋体"/>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其他无法保证</w:t>
      </w:r>
      <w:r>
        <w:rPr>
          <w:rFonts w:hint="eastAsia" w:ascii="宋体" w:hAnsi="宋体"/>
          <w:color w:val="auto"/>
          <w:sz w:val="24"/>
          <w:highlight w:val="none"/>
        </w:rPr>
        <w:t xml:space="preserve">本次采购活动</w:t>
      </w:r>
      <w:r>
        <w:rPr>
          <w:rFonts w:ascii="宋体" w:hAnsi="宋体"/>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t xml:space="preserve">出现</w:t>
      </w:r>
      <w:r>
        <w:rPr>
          <w:rFonts w:hint="eastAsia" w:ascii="宋体" w:hAnsi="宋体"/>
          <w:color w:val="auto"/>
          <w:sz w:val="24"/>
          <w:highlight w:val="none"/>
        </w:rPr>
        <w:t xml:space="preserve">上述</w:t>
      </w:r>
      <w:r>
        <w:rPr>
          <w:rFonts w:ascii="宋体" w:hAnsi="宋体"/>
          <w:color w:val="auto"/>
          <w:sz w:val="24"/>
          <w:highlight w:val="none"/>
        </w:rPr>
        <w:t xml:space="preserve">情形，不影响采购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代理机构</w:t>
      </w:r>
      <w:r>
        <w:rPr>
          <w:rFonts w:ascii="宋体" w:hAnsi="宋体"/>
          <w:color w:val="auto"/>
          <w:sz w:val="24"/>
          <w:highlight w:val="none"/>
        </w:rPr>
        <w:t xml:space="preserve">可以待上述情形消除后继续组织</w:t>
      </w:r>
      <w:r>
        <w:rPr>
          <w:rFonts w:hint="eastAsia" w:ascii="宋体" w:hAnsi="宋体"/>
          <w:color w:val="auto"/>
          <w:sz w:val="24"/>
          <w:highlight w:val="none"/>
        </w:rPr>
        <w:t xml:space="preserve">不见面</w:t>
      </w:r>
      <w:r>
        <w:rPr>
          <w:rFonts w:ascii="宋体" w:hAnsi="宋体"/>
          <w:color w:val="auto"/>
          <w:sz w:val="24"/>
          <w:highlight w:val="none"/>
        </w:rPr>
        <w:t xml:space="preserve">交易</w:t>
      </w:r>
      <w:r>
        <w:rPr>
          <w:rFonts w:hint="eastAsia" w:ascii="宋体" w:hAnsi="宋体"/>
          <w:color w:val="auto"/>
          <w:sz w:val="24"/>
          <w:highlight w:val="none"/>
        </w:rPr>
        <w:t xml:space="preserve">采购</w:t>
      </w:r>
      <w:r>
        <w:rPr>
          <w:rFonts w:ascii="宋体" w:hAnsi="宋体"/>
          <w:color w:val="auto"/>
          <w:sz w:val="24"/>
          <w:highlight w:val="none"/>
        </w:rPr>
        <w:t xml:space="preserve">活动，也可以决定某些环节以纸质形式进行；影响或可能影响采购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公平、公正性的，应当</w:t>
      </w:r>
      <w:r>
        <w:rPr>
          <w:rFonts w:hint="eastAsia" w:ascii="宋体" w:hAnsi="宋体"/>
          <w:color w:val="auto"/>
          <w:sz w:val="24"/>
          <w:highlight w:val="none"/>
        </w:rPr>
        <w:t xml:space="preserve">终止本次项目，</w:t>
      </w:r>
      <w:r>
        <w:rPr>
          <w:rFonts w:ascii="宋体" w:hAnsi="宋体"/>
          <w:color w:val="auto"/>
          <w:sz w:val="24"/>
          <w:highlight w:val="none"/>
        </w:rPr>
        <w:t xml:space="preserve">重新</w:t>
      </w:r>
      <w:r>
        <w:rPr>
          <w:rFonts w:hint="eastAsia" w:ascii="宋体" w:hAnsi="宋体"/>
          <w:color w:val="auto"/>
          <w:sz w:val="24"/>
          <w:highlight w:val="none"/>
        </w:rPr>
        <w:t xml:space="preserve">组织</w:t>
      </w:r>
      <w:r>
        <w:rPr>
          <w:rFonts w:ascii="宋体" w:hAnsi="宋体"/>
          <w:color w:val="auto"/>
          <w:sz w:val="24"/>
          <w:highlight w:val="none"/>
        </w:rPr>
        <w:t xml:space="preserve">采购。</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资格审查</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见第三章《资格审查》。</w:t>
      </w:r>
      <w:bookmarkEnd w:id="570"/>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571" w:name="_Toc149720833"/>
      <w:r/>
      <w:bookmarkStart w:id="572" w:name="_Toc226965813"/>
      <w:r/>
      <w:bookmarkStart w:id="573" w:name="_Toc226309784"/>
      <w:r/>
      <w:bookmarkStart w:id="574" w:name="_Toc150774640"/>
      <w:r/>
      <w:bookmarkStart w:id="575" w:name="_Toc127151540"/>
      <w:r/>
      <w:bookmarkStart w:id="576" w:name="_Toc164229381"/>
      <w:r/>
      <w:bookmarkStart w:id="577" w:name="_Toc305158882"/>
      <w:r/>
      <w:bookmarkStart w:id="578" w:name="_Toc151193782"/>
      <w:r/>
      <w:bookmarkStart w:id="579" w:name="_Toc195842905"/>
      <w:r/>
      <w:bookmarkStart w:id="580" w:name="_Toc151193638"/>
      <w:r/>
      <w:bookmarkStart w:id="581" w:name="_Toc142311042"/>
      <w:r/>
      <w:bookmarkStart w:id="582" w:name="_Toc305158808"/>
      <w:r/>
      <w:bookmarkStart w:id="583" w:name="_Toc150509291"/>
      <w:r/>
      <w:bookmarkStart w:id="584" w:name="_Toc164608809"/>
      <w:r/>
      <w:bookmarkStart w:id="585" w:name="_Toc150480778"/>
      <w:r/>
      <w:bookmarkStart w:id="586" w:name="_Toc151193854"/>
      <w:r/>
      <w:bookmarkStart w:id="587" w:name="_Toc151190167"/>
      <w:r/>
      <w:bookmarkStart w:id="588" w:name="_Toc151193710"/>
      <w:r/>
      <w:bookmarkStart w:id="589" w:name="_Toc264969230"/>
      <w:r/>
      <w:bookmarkStart w:id="590" w:name="_Toc265228378"/>
      <w:r/>
      <w:bookmarkStart w:id="591" w:name="_Toc226965730"/>
      <w:r/>
      <w:bookmarkStart w:id="592" w:name="_Toc127161454"/>
      <w:r/>
      <w:bookmarkStart w:id="593" w:name="_Toc164608654"/>
      <w:r/>
      <w:bookmarkStart w:id="594" w:name="_Toc127151741"/>
      <w:r/>
      <w:bookmarkStart w:id="595" w:name="_Toc164351634"/>
      <w:r/>
      <w:bookmarkStart w:id="596" w:name="_Toc164229235"/>
      <w:r/>
      <w:bookmarkStart w:id="597" w:name="_Toc226337236"/>
      <w:r/>
      <w:bookmarkStart w:id="598" w:name="_Toc150774745"/>
      <w:r/>
      <w:bookmarkStart w:id="599" w:name="_Toc151193928"/>
      <w:r>
        <w:rPr>
          <w:rFonts w:ascii="宋体" w:hAnsi="宋体"/>
          <w:color w:val="auto"/>
          <w:sz w:val="24"/>
          <w:highlight w:val="none"/>
        </w:rPr>
        <w:t xml:space="preserve">评标委员会</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评标委员会根据政府采购有关规定和本次招标采购项目的特点进行组建，并负责具体评标事务，独立履行职责。</w:t>
      </w:r>
      <w:bookmarkStart w:id="600" w:name="_Toc520356166"/>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评审专家须符合</w:t>
      </w:r>
      <w:r>
        <w:rPr>
          <w:rFonts w:hint="eastAsia" w:ascii="宋体" w:hAnsi="宋体"/>
          <w:color w:val="auto"/>
          <w:sz w:val="24"/>
          <w:highlight w:val="none"/>
        </w:rPr>
        <w:t xml:space="preserve">相关</w:t>
      </w:r>
      <w:r>
        <w:rPr>
          <w:rFonts w:ascii="宋体" w:hAnsi="宋体"/>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600"/>
      <w:r/>
      <w:bookmarkStart w:id="601" w:name="_Toc520356169"/>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评标程序、评标方法和评标标准</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pStyle w:val="860"/>
        <w:spacing w:before="0" w:line="360" w:lineRule="auto"/>
        <w:rPr>
          <w:rFonts w:ascii="宋体" w:hAnsi="宋体" w:eastAsia="宋体"/>
          <w:color w:val="auto"/>
          <w:sz w:val="28"/>
          <w:highlight w:val="none"/>
        </w:rPr>
      </w:pPr>
      <w:r/>
      <w:bookmarkStart w:id="602" w:name="_Toc150774645"/>
      <w:r/>
      <w:bookmarkStart w:id="603" w:name="_Toc142311047"/>
      <w:r/>
      <w:bookmarkStart w:id="604" w:name="_Toc305158813"/>
      <w:r/>
      <w:bookmarkStart w:id="605" w:name="_Toc151193859"/>
      <w:r/>
      <w:bookmarkStart w:id="606" w:name="_Toc264969235"/>
      <w:r/>
      <w:bookmarkStart w:id="607" w:name="_Toc226965735"/>
      <w:r/>
      <w:bookmarkStart w:id="608" w:name="_Toc150480783"/>
      <w:r/>
      <w:bookmarkStart w:id="609" w:name="_Toc305158887"/>
      <w:r/>
      <w:bookmarkStart w:id="610" w:name="_Toc226965818"/>
      <w:r/>
      <w:bookmarkStart w:id="611" w:name="_Toc151193715"/>
      <w:r/>
      <w:bookmarkStart w:id="612" w:name="_Toc150509296"/>
      <w:r/>
      <w:bookmarkStart w:id="613" w:name="_Toc226309789"/>
      <w:r/>
      <w:bookmarkStart w:id="614" w:name="_Toc150774750"/>
      <w:r/>
      <w:bookmarkStart w:id="615" w:name="_Toc226337241"/>
      <w:r/>
      <w:bookmarkStart w:id="616" w:name="_Toc151193643"/>
      <w:r/>
      <w:bookmarkStart w:id="617" w:name="_Toc151193933"/>
      <w:r/>
      <w:bookmarkStart w:id="618" w:name="_Toc265228383"/>
      <w:r/>
      <w:bookmarkStart w:id="619" w:name="_Toc151193787"/>
      <w:r/>
      <w:bookmarkStart w:id="620" w:name="_Toc195842910"/>
      <w:r/>
      <w:bookmarkStart w:id="621" w:name="_Toc127151545"/>
      <w:r/>
      <w:bookmarkStart w:id="622" w:name="_Toc151190172"/>
      <w:r>
        <w:rPr>
          <w:rFonts w:ascii="宋体" w:hAnsi="宋体" w:eastAsia="宋体"/>
          <w:color w:val="auto"/>
          <w:sz w:val="28"/>
          <w:highlight w:val="none"/>
        </w:rPr>
        <w:t xml:space="preserve">六   </w:t>
      </w:r>
      <w:bookmarkEnd w:id="601"/>
      <w:r>
        <w:rPr>
          <w:rFonts w:ascii="宋体" w:hAnsi="宋体" w:eastAsia="宋体"/>
          <w:color w:val="auto"/>
          <w:sz w:val="28"/>
          <w:highlight w:val="none"/>
        </w:rPr>
        <w:t xml:space="preserve">确定中标</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Start w:id="623" w:name="_Toc164229388"/>
      <w:r/>
      <w:bookmarkStart w:id="624" w:name="_Toc226337243"/>
      <w:r/>
      <w:bookmarkStart w:id="625" w:name="_Toc150774752"/>
      <w:r/>
      <w:bookmarkStart w:id="626" w:name="_Toc127151748"/>
      <w:r/>
      <w:bookmarkStart w:id="627" w:name="_Toc150509298"/>
      <w:r/>
      <w:bookmarkStart w:id="628" w:name="_Toc305158815"/>
      <w:r/>
      <w:bookmarkStart w:id="629" w:name="_Toc151193935"/>
      <w:r/>
      <w:bookmarkStart w:id="630" w:name="_Toc151193789"/>
      <w:r/>
      <w:bookmarkStart w:id="631" w:name="_Toc164608661"/>
      <w:r/>
      <w:bookmarkStart w:id="632" w:name="_Toc127151547"/>
      <w:r/>
      <w:bookmarkStart w:id="633" w:name="_Toc151193717"/>
      <w:r/>
      <w:bookmarkStart w:id="634" w:name="_Toc265228385"/>
      <w:r/>
      <w:bookmarkStart w:id="635" w:name="_Toc142311049"/>
      <w:r/>
      <w:bookmarkStart w:id="636" w:name="_Toc149720840"/>
      <w:r/>
      <w:bookmarkStart w:id="637" w:name="_Toc226965737"/>
      <w:r/>
      <w:bookmarkStart w:id="638" w:name="_Toc305158889"/>
      <w:r/>
      <w:bookmarkStart w:id="639" w:name="_Toc164608816"/>
      <w:r/>
      <w:bookmarkStart w:id="640" w:name="_Toc151193861"/>
      <w:r/>
      <w:bookmarkStart w:id="641" w:name="_Toc164229242"/>
      <w:r/>
      <w:bookmarkStart w:id="642" w:name="_Toc195842912"/>
      <w:r/>
      <w:bookmarkStart w:id="643" w:name="_Toc127161461"/>
      <w:r/>
      <w:bookmarkStart w:id="644" w:name="_Toc164351641"/>
      <w:r/>
      <w:bookmarkStart w:id="645" w:name="_Toc226309791"/>
      <w:r/>
      <w:bookmarkStart w:id="646" w:name="_Toc151190174"/>
      <w:r/>
      <w:bookmarkStart w:id="647" w:name="_Toc150480785"/>
      <w:r/>
      <w:bookmarkStart w:id="648" w:name="_Toc150774647"/>
      <w:r/>
      <w:bookmarkStart w:id="649" w:name="_Toc151193645"/>
      <w:r/>
      <w:bookmarkStart w:id="650" w:name="_Toc226965820"/>
      <w:r/>
      <w:bookmarkStart w:id="651" w:name="_Toc264969237"/>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确定中标人</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采购人将在评标报告确定的中标候选人名单中按顺序确定中标人，中标候选人并列的，由采购人</w:t>
      </w:r>
      <w:r>
        <w:rPr>
          <w:rFonts w:hint="eastAsia" w:ascii="宋体" w:hAnsi="宋体"/>
          <w:color w:val="auto"/>
          <w:sz w:val="24"/>
          <w:highlight w:val="none"/>
        </w:rPr>
        <w:t xml:space="preserve">依法</w:t>
      </w:r>
      <w:r>
        <w:rPr>
          <w:rFonts w:ascii="宋体" w:hAnsi="宋体"/>
          <w:color w:val="auto"/>
          <w:sz w:val="24"/>
          <w:highlight w:val="none"/>
        </w:rPr>
        <w:t xml:space="preserve">确定</w:t>
      </w:r>
      <w:r>
        <w:rPr>
          <w:rFonts w:hint="eastAsia" w:ascii="宋体" w:hAnsi="宋体"/>
          <w:color w:val="auto"/>
          <w:sz w:val="24"/>
          <w:highlight w:val="none"/>
        </w:rPr>
        <w:t xml:space="preserve">。</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652" w:name="_Toc305158891"/>
      <w:r/>
      <w:bookmarkStart w:id="653" w:name="_Toc305158817"/>
      <w:r/>
      <w:bookmarkStart w:id="654" w:name="_Toc164229390"/>
      <w:r/>
      <w:bookmarkStart w:id="655" w:name="_Toc151193937"/>
      <w:r/>
      <w:bookmarkStart w:id="656" w:name="_Toc149720842"/>
      <w:r/>
      <w:bookmarkStart w:id="657" w:name="_Toc226965739"/>
      <w:r/>
      <w:bookmarkStart w:id="658" w:name="_Toc151193647"/>
      <w:r/>
      <w:bookmarkStart w:id="659" w:name="_Toc150509300"/>
      <w:r/>
      <w:bookmarkStart w:id="660" w:name="_Toc150774754"/>
      <w:r/>
      <w:bookmarkStart w:id="661" w:name="_Toc226337245"/>
      <w:r/>
      <w:bookmarkStart w:id="662" w:name="_Toc265228387"/>
      <w:r/>
      <w:bookmarkStart w:id="663" w:name="_Toc164608818"/>
      <w:r/>
      <w:bookmarkStart w:id="664" w:name="_Toc151193791"/>
      <w:r/>
      <w:bookmarkStart w:id="665" w:name="_Toc226965822"/>
      <w:r/>
      <w:bookmarkStart w:id="666" w:name="_Toc151193863"/>
      <w:r/>
      <w:bookmarkStart w:id="667" w:name="_Toc226309793"/>
      <w:r/>
      <w:bookmarkStart w:id="668" w:name="_Toc127151750"/>
      <w:r/>
      <w:bookmarkStart w:id="669" w:name="_Toc264969239"/>
      <w:r/>
      <w:bookmarkStart w:id="670" w:name="_Toc142311051"/>
      <w:r/>
      <w:bookmarkStart w:id="671" w:name="_Toc164229244"/>
      <w:r/>
      <w:bookmarkStart w:id="672" w:name="_Toc164351643"/>
      <w:r/>
      <w:bookmarkStart w:id="673" w:name="_Toc127151549"/>
      <w:r/>
      <w:bookmarkStart w:id="674" w:name="_Toc150480787"/>
      <w:r/>
      <w:bookmarkStart w:id="675" w:name="_Toc151190176"/>
      <w:r/>
      <w:bookmarkStart w:id="676" w:name="_Toc150774649"/>
      <w:r/>
      <w:bookmarkStart w:id="677" w:name="_Toc151193719"/>
      <w:r/>
      <w:bookmarkStart w:id="678" w:name="_Toc127161463"/>
      <w:r/>
      <w:bookmarkStart w:id="679" w:name="_Toc164608663"/>
      <w:r/>
      <w:bookmarkStart w:id="680" w:name="_Toc195842914"/>
      <w:r/>
      <w:bookmarkStart w:id="681" w:name="_Ref467306425"/>
      <w:r/>
      <w:bookmarkStart w:id="682" w:name="_Toc520356176"/>
      <w:r/>
      <w:bookmarkStart w:id="683" w:name="_Ref467307090"/>
      <w:r>
        <w:rPr>
          <w:rFonts w:ascii="宋体" w:hAnsi="宋体"/>
          <w:color w:val="auto"/>
          <w:sz w:val="24"/>
          <w:highlight w:val="none"/>
        </w:rPr>
        <w:t xml:space="preserve">中标公告与中标通知书</w:t>
      </w:r>
      <w:bookmarkEnd w:id="652"/>
      <w:r/>
      <w:bookmarkEnd w:id="653"/>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采购人或采购代理机构自中标人确定之日起2个工作日内，</w:t>
      </w:r>
      <w:r>
        <w:rPr>
          <w:rFonts w:ascii="宋体" w:hAnsi="宋体"/>
          <w:color w:val="auto"/>
          <w:sz w:val="24"/>
          <w:highlight w:val="none"/>
        </w:rPr>
        <w:t xml:space="preserve">在</w:t>
      </w:r>
      <w:r>
        <w:rPr>
          <w:rFonts w:hint="eastAsia" w:ascii="宋体" w:hAnsi="宋体"/>
          <w:color w:val="auto"/>
          <w:sz w:val="24"/>
          <w:highlight w:val="none"/>
        </w:rPr>
        <w:t xml:space="preserve">常州市政府采购网</w:t>
      </w:r>
      <w:r>
        <w:rPr>
          <w:rFonts w:ascii="宋体" w:hAnsi="宋体"/>
          <w:color w:val="auto"/>
          <w:sz w:val="24"/>
          <w:highlight w:val="none"/>
        </w:rPr>
        <w:t xml:space="preserve">公告中标结果</w:t>
      </w:r>
      <w:r>
        <w:rPr>
          <w:rFonts w:ascii="宋体" w:hAnsi="宋体"/>
          <w:color w:val="auto"/>
          <w:sz w:val="24"/>
          <w:highlight w:val="none"/>
        </w:rPr>
        <w:t xml:space="preserve">，</w:t>
      </w:r>
      <w:r>
        <w:rPr>
          <w:rFonts w:hint="eastAsia" w:ascii="宋体" w:hAnsi="宋体"/>
          <w:color w:val="auto"/>
          <w:sz w:val="24"/>
          <w:highlight w:val="none"/>
        </w:rPr>
        <w:t xml:space="preserve">同时向中标人发出中标通知书，</w:t>
      </w:r>
      <w:r>
        <w:rPr>
          <w:rFonts w:ascii="宋体" w:hAnsi="宋体"/>
          <w:color w:val="auto"/>
          <w:sz w:val="24"/>
          <w:highlight w:val="none"/>
        </w:rPr>
        <w:t xml:space="preserve">中标公告期限为1个工作日。</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中标通知书对采购人和中标</w:t>
      </w:r>
      <w:r>
        <w:rPr>
          <w:rFonts w:hint="eastAsia" w:ascii="宋体" w:hAnsi="宋体"/>
          <w:color w:val="auto"/>
          <w:sz w:val="24"/>
          <w:highlight w:val="none"/>
        </w:rPr>
        <w:t xml:space="preserve">投标人</w:t>
      </w:r>
      <w:r>
        <w:rPr>
          <w:rFonts w:ascii="宋体" w:hAnsi="宋体"/>
          <w:color w:val="auto"/>
          <w:sz w:val="24"/>
          <w:highlight w:val="none"/>
        </w:rPr>
        <w:t xml:space="preserve">均具有法律效力。中标通知书发出后，采购人改变中标结果的，或者中标</w:t>
      </w:r>
      <w:r>
        <w:rPr>
          <w:rFonts w:hint="eastAsia" w:ascii="宋体" w:hAnsi="宋体"/>
          <w:color w:val="auto"/>
          <w:sz w:val="24"/>
          <w:highlight w:val="none"/>
        </w:rPr>
        <w:t xml:space="preserve">投标人</w:t>
      </w:r>
      <w:r>
        <w:rPr>
          <w:rFonts w:ascii="宋体" w:hAnsi="宋体"/>
          <w:color w:val="auto"/>
          <w:sz w:val="24"/>
          <w:highlight w:val="none"/>
        </w:rPr>
        <w:t xml:space="preserve">放弃中标项目的，应当依法承担法律责任。</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废标</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在招标采购中，出现下列情形之一的，应予废标：</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符合专业条件的</w:t>
      </w:r>
      <w:r>
        <w:rPr>
          <w:rFonts w:hint="eastAsia" w:ascii="宋体" w:hAnsi="宋体"/>
          <w:color w:val="auto"/>
          <w:sz w:val="24"/>
          <w:highlight w:val="none"/>
        </w:rPr>
        <w:t xml:space="preserve">投标人</w:t>
      </w:r>
      <w:r>
        <w:rPr>
          <w:rFonts w:ascii="宋体" w:hAnsi="宋体"/>
          <w:color w:val="auto"/>
          <w:sz w:val="24"/>
          <w:highlight w:val="none"/>
        </w:rPr>
        <w:t xml:space="preserve">或者对招标文件作实质响应的</w:t>
      </w:r>
      <w:r>
        <w:rPr>
          <w:rFonts w:hint="eastAsia" w:ascii="宋体" w:hAnsi="宋体"/>
          <w:color w:val="auto"/>
          <w:sz w:val="24"/>
          <w:highlight w:val="none"/>
        </w:rPr>
        <w:t xml:space="preserve">投标人</w:t>
      </w:r>
      <w:r>
        <w:rPr>
          <w:rFonts w:ascii="宋体" w:hAnsi="宋体"/>
          <w:color w:val="auto"/>
          <w:sz w:val="24"/>
          <w:highlight w:val="none"/>
        </w:rPr>
        <w:t xml:space="preserve">不足三家的；</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投标人的报价均超过了采购预算，采购人不能支付的；</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因重大变故，采购任务取消的。</w:t>
      </w:r>
      <w:r/>
    </w:p>
    <w:p>
      <w:pPr>
        <w:numPr>
          <w:ilvl w:val="2"/>
          <w:numId w:val="10"/>
        </w:numPr>
        <w:spacing w:line="360" w:lineRule="auto"/>
        <w:rPr>
          <w:rFonts w:ascii="宋体" w:hAnsi="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废标后，采购人将废标理由通知所有投标人。</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r/>
    </w:p>
    <w:p>
      <w:pPr>
        <w:numPr>
          <w:ilvl w:val="0"/>
          <w:numId w:val="10"/>
        </w:numPr>
        <w:ind w:left="357" w:hanging="357"/>
        <w:spacing w:line="360" w:lineRule="auto"/>
        <w:tabs>
          <w:tab w:val="left" w:pos="360" w:leader="none"/>
        </w:tabs>
        <w:rPr>
          <w:rFonts w:ascii="宋体" w:hAnsi="宋体"/>
          <w:color w:val="auto"/>
          <w:sz w:val="24"/>
          <w:highlight w:val="none"/>
        </w:rPr>
        <w:outlineLvl w:val="1"/>
      </w:pPr>
      <w:r/>
      <w:bookmarkStart w:id="684" w:name="_Toc305158818"/>
      <w:r/>
      <w:bookmarkStart w:id="685" w:name="_Ref467306978"/>
      <w:r/>
      <w:bookmarkStart w:id="686" w:name="_Toc142311052"/>
      <w:r/>
      <w:bookmarkStart w:id="687" w:name="_Toc226965823"/>
      <w:r/>
      <w:bookmarkStart w:id="688" w:name="_Ref467306377"/>
      <w:r/>
      <w:bookmarkStart w:id="689" w:name="_Toc305158892"/>
      <w:r/>
      <w:bookmarkStart w:id="690" w:name="_Toc164608664"/>
      <w:r/>
      <w:bookmarkStart w:id="691" w:name="_Toc151193864"/>
      <w:r/>
      <w:bookmarkStart w:id="692" w:name="_Toc150774755"/>
      <w:r/>
      <w:bookmarkStart w:id="693" w:name="_Toc164229391"/>
      <w:r/>
      <w:bookmarkStart w:id="694" w:name="_Toc127151751"/>
      <w:r/>
      <w:bookmarkStart w:id="695" w:name="_Toc151193720"/>
      <w:r/>
      <w:bookmarkStart w:id="696" w:name="_Toc265228388"/>
      <w:r/>
      <w:bookmarkStart w:id="697" w:name="_Ref467307204"/>
      <w:r/>
      <w:bookmarkStart w:id="698" w:name="_Toc151193938"/>
      <w:r/>
      <w:bookmarkStart w:id="699" w:name="_Toc150480788"/>
      <w:r/>
      <w:bookmarkStart w:id="700" w:name="_Toc151193792"/>
      <w:r/>
      <w:bookmarkStart w:id="701" w:name="_Toc226337246"/>
      <w:r/>
      <w:bookmarkStart w:id="702" w:name="_Toc164229245"/>
      <w:r/>
      <w:bookmarkStart w:id="703" w:name="_Toc226309794"/>
      <w:r/>
      <w:bookmarkStart w:id="704" w:name="_Toc150509301"/>
      <w:r/>
      <w:bookmarkStart w:id="705" w:name="_Toc264969240"/>
      <w:r/>
      <w:bookmarkStart w:id="706" w:name="_Toc164608819"/>
      <w:r/>
      <w:bookmarkStart w:id="707" w:name="_Toc195842915"/>
      <w:r/>
      <w:bookmarkStart w:id="708" w:name="_Toc149720843"/>
      <w:r/>
      <w:bookmarkStart w:id="709" w:name="_Toc520356175"/>
      <w:r/>
      <w:bookmarkStart w:id="710" w:name="_Toc127151550"/>
      <w:r/>
      <w:bookmarkStart w:id="711" w:name="_Toc151190177"/>
      <w:r/>
      <w:bookmarkStart w:id="712" w:name="_Toc151193648"/>
      <w:r/>
      <w:bookmarkStart w:id="713" w:name="_Toc164351644"/>
      <w:r/>
      <w:bookmarkStart w:id="714" w:name="_Toc226965740"/>
      <w:r/>
      <w:bookmarkStart w:id="715" w:name="_Toc150774650"/>
      <w:r/>
      <w:bookmarkStart w:id="716" w:name="_Toc127161464"/>
      <w:r/>
      <w:bookmarkStart w:id="717" w:name="_Ref467307062"/>
      <w:r>
        <w:rPr>
          <w:rFonts w:ascii="宋体" w:hAnsi="宋体"/>
          <w:color w:val="auto"/>
          <w:sz w:val="24"/>
          <w:highlight w:val="none"/>
        </w:rPr>
        <w:t xml:space="preserve">签订合同</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w:t>
      </w:r>
      <w:r>
        <w:rPr>
          <w:rFonts w:hint="eastAsia" w:ascii="宋体" w:hAnsi="宋体"/>
          <w:color w:val="auto"/>
          <w:sz w:val="24"/>
          <w:highlight w:val="none"/>
        </w:rPr>
        <w:t xml:space="preserve">拒绝</w:t>
      </w:r>
      <w:r>
        <w:rPr>
          <w:rFonts w:ascii="宋体" w:hAnsi="宋体"/>
          <w:color w:val="auto"/>
          <w:sz w:val="24"/>
          <w:highlight w:val="none"/>
        </w:rPr>
        <w:t xml:space="preserve">与采购人签订合同的，采购人</w:t>
      </w:r>
      <w:r>
        <w:rPr>
          <w:rFonts w:hint="eastAsia" w:ascii="宋体" w:hAnsi="宋体"/>
          <w:color w:val="auto"/>
          <w:sz w:val="24"/>
          <w:highlight w:val="none"/>
        </w:rPr>
        <w:t xml:space="preserve">可以</w:t>
      </w:r>
      <w:r>
        <w:rPr>
          <w:rFonts w:ascii="宋体" w:hAnsi="宋体"/>
          <w:color w:val="auto"/>
          <w:sz w:val="24"/>
          <w:highlight w:val="none"/>
        </w:rPr>
        <w:t xml:space="preserve">按照评</w:t>
      </w:r>
      <w:r>
        <w:rPr>
          <w:rFonts w:hint="eastAsia" w:ascii="宋体" w:hAnsi="宋体"/>
          <w:color w:val="auto"/>
          <w:sz w:val="24"/>
          <w:highlight w:val="none"/>
        </w:rPr>
        <w:t xml:space="preserve">标</w:t>
      </w:r>
      <w:r>
        <w:rPr>
          <w:rFonts w:ascii="宋体" w:hAnsi="宋体"/>
          <w:color w:val="auto"/>
          <w:sz w:val="24"/>
          <w:highlight w:val="none"/>
        </w:rPr>
        <w:t xml:space="preserve">报告推荐的中标候选人名单排序，确定下一候选人为中标人，</w:t>
      </w:r>
      <w:r>
        <w:rPr>
          <w:rFonts w:hint="eastAsia" w:ascii="宋体" w:hAnsi="宋体"/>
          <w:color w:val="auto"/>
          <w:sz w:val="24"/>
          <w:highlight w:val="none"/>
        </w:rPr>
        <w:t xml:space="preserve">也可以</w:t>
      </w:r>
      <w:r>
        <w:rPr>
          <w:rFonts w:ascii="宋体" w:hAnsi="宋体"/>
          <w:color w:val="auto"/>
          <w:sz w:val="24"/>
          <w:highlight w:val="none"/>
        </w:rPr>
        <w:t xml:space="preserve">重新开展政府采购活动。</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联合体中标的，联合体各方应当共同与采购人签订合同，就中标项目向采购人承担连带责任。</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政府采购合同不能转包。</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。中标人就采购项目和分包项目向采购人负责，分包</w:t>
      </w:r>
      <w:r>
        <w:rPr>
          <w:rFonts w:hint="eastAsia" w:ascii="宋体" w:hAnsi="宋体"/>
          <w:color w:val="auto"/>
          <w:sz w:val="24"/>
          <w:highlight w:val="none"/>
        </w:rPr>
        <w:t xml:space="preserve">投标人</w:t>
      </w:r>
      <w:r>
        <w:rPr>
          <w:rFonts w:ascii="宋体" w:hAnsi="宋体"/>
          <w:color w:val="auto"/>
          <w:sz w:val="24"/>
          <w:highlight w:val="none"/>
        </w:rPr>
        <w:t xml:space="preserve">就分包项目承担责任。</w:t>
      </w:r>
      <w:bookmarkEnd w:id="681"/>
      <w:bookmarkEnd w:id="682"/>
      <w:bookmarkEnd w:id="683"/>
      <w:r/>
    </w:p>
    <w:p>
      <w:pPr>
        <w:numPr>
          <w:ilvl w:val="0"/>
          <w:numId w:val="10"/>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询问与质疑</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询问</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投标人对政府采购活动事项有疑问的，可依法提出询问，并按《投标人须知资料表》载明的形式送达采购人或采购代理机构。</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采购人或采购代理机构对</w:t>
      </w:r>
      <w:r>
        <w:rPr>
          <w:rFonts w:hint="eastAsia" w:ascii="宋体" w:hAnsi="宋体"/>
          <w:color w:val="auto"/>
          <w:sz w:val="24"/>
          <w:highlight w:val="none"/>
        </w:rPr>
        <w:t xml:space="preserve">投标人</w:t>
      </w:r>
      <w:r>
        <w:rPr>
          <w:rFonts w:ascii="宋体" w:hAnsi="宋体"/>
          <w:color w:val="auto"/>
          <w:sz w:val="24"/>
          <w:highlight w:val="none"/>
        </w:rPr>
        <w:t xml:space="preserve">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质疑</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0"/>
        </w:numPr>
        <w:spacing w:line="360" w:lineRule="auto"/>
        <w:rPr>
          <w:rFonts w:ascii="宋体" w:hAnsi="宋体"/>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11"/>
          <w:rFonts w:ascii="宋体" w:hAnsi="宋体"/>
          <w:color w:val="auto"/>
          <w:highlight w:val="none"/>
        </w:rPr>
        <w:t xml:space="preserve">http://gk</w:t>
      </w:r>
      <w:bookmarkStart w:id="718" w:name="_Hlt100654014"/>
      <w:r>
        <w:rPr>
          <w:rStyle w:val="911"/>
          <w:rFonts w:ascii="宋体" w:hAnsi="宋体"/>
          <w:color w:val="auto"/>
          <w:highlight w:val="none"/>
        </w:rPr>
        <w:t xml:space="preserve">s</w:t>
      </w:r>
      <w:bookmarkEnd w:id="718"/>
      <w:r>
        <w:rPr>
          <w:rStyle w:val="911"/>
          <w:rFonts w:ascii="宋体" w:hAnsi="宋体"/>
          <w:color w:val="auto"/>
          <w:highlight w:val="none"/>
        </w:rPr>
        <w:t xml:space="preserve">.m</w:t>
      </w:r>
      <w:bookmarkStart w:id="719" w:name="_Hlt100653993"/>
      <w:r/>
      <w:bookmarkStart w:id="720" w:name="_Hlt100653994"/>
      <w:r>
        <w:rPr>
          <w:rStyle w:val="911"/>
          <w:rFonts w:ascii="宋体" w:hAnsi="宋体"/>
          <w:color w:val="auto"/>
          <w:highlight w:val="none"/>
        </w:rPr>
        <w:t xml:space="preserve">o</w:t>
      </w:r>
      <w:bookmarkEnd w:id="719"/>
      <w:r/>
      <w:bookmarkEnd w:id="720"/>
      <w:r>
        <w:rPr>
          <w:rStyle w:val="911"/>
          <w:rFonts w:ascii="宋体" w:hAnsi="宋体"/>
          <w:color w:val="auto"/>
          <w:highlight w:val="none"/>
        </w:rPr>
        <w:t xml:space="preserve">f.gov.cn/ztztz/zhengfucaigouguanli/201802/t20180201_2804589.htm</w:t>
      </w:r>
      <w:r>
        <w:rPr>
          <w:rStyle w:val="911"/>
          <w:rFonts w:ascii="宋体" w:hAnsi="宋体"/>
          <w:color w:val="auto"/>
          <w:highlight w:val="none"/>
        </w:rPr>
        <w:fldChar w:fldCharType="end"/>
      </w:r>
      <w:r>
        <w:rPr>
          <w:rFonts w:hint="eastAsia" w:ascii="宋体" w:hAnsi="宋体"/>
          <w:color w:val="auto"/>
          <w:highlight w:val="none"/>
        </w:rPr>
        <w:t xml:space="preserve">）</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rFonts w:ascii="宋体" w:hAnsi="宋体"/>
          <w:color w:val="auto"/>
          <w:sz w:val="24"/>
          <w:highlight w:val="none"/>
        </w:rPr>
      </w:pPr>
      <w:r>
        <w:rPr>
          <w:rFonts w:ascii="宋体" w:hAnsi="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接收询问和质疑的联系部门、联系电话和通讯地址见《投标人须知资料表》</w:t>
      </w:r>
      <w:r>
        <w:rPr>
          <w:rFonts w:hint="eastAsia" w:ascii="宋体" w:hAnsi="宋体"/>
          <w:color w:val="auto"/>
          <w:sz w:val="24"/>
          <w:highlight w:val="none"/>
        </w:rPr>
        <w:t xml:space="preserve">。</w:t>
      </w:r>
      <w:r/>
    </w:p>
    <w:p>
      <w:pPr>
        <w:numPr>
          <w:ilvl w:val="0"/>
          <w:numId w:val="10"/>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代理费</w:t>
      </w:r>
      <w:r/>
    </w:p>
    <w:p>
      <w:pPr>
        <w:numPr>
          <w:ilvl w:val="1"/>
          <w:numId w:val="10"/>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ascii="宋体" w:hAnsi="宋体"/>
          <w:b/>
          <w:color w:val="auto"/>
          <w:sz w:val="36"/>
          <w:szCs w:val="36"/>
          <w:highlight w:val="none"/>
        </w:rPr>
        <w:outlineLvl w:val="0"/>
      </w:pPr>
      <w:r/>
      <w:bookmarkStart w:id="721" w:name="_Toc142311056"/>
      <w:r/>
      <w:bookmarkStart w:id="722" w:name="_Toc265228392"/>
      <w:r/>
      <w:bookmarkStart w:id="723" w:name="_Toc226337250"/>
      <w:r/>
      <w:bookmarkStart w:id="724" w:name="_Toc305158822"/>
      <w:r/>
      <w:bookmarkStart w:id="725" w:name="_Toc226965827"/>
      <w:r/>
      <w:bookmarkStart w:id="726" w:name="_Toc353873664"/>
      <w:r/>
      <w:bookmarkStart w:id="727" w:name="_Toc353873934"/>
      <w:r/>
      <w:bookmarkStart w:id="728" w:name="_Toc127151554"/>
      <w:r/>
      <w:bookmarkStart w:id="729" w:name="_Toc150774759"/>
      <w:r/>
      <w:bookmarkStart w:id="730" w:name="_Toc305158896"/>
      <w:r/>
      <w:bookmarkStart w:id="731" w:name="_Toc150480792"/>
      <w:r/>
      <w:bookmarkStart w:id="732" w:name="_Toc264969244"/>
      <w:r/>
      <w:bookmarkStart w:id="733" w:name="_Toc353825544"/>
      <w:r>
        <w:rPr>
          <w:rFonts w:ascii="宋体" w:hAnsi="宋体"/>
          <w:color w:val="auto"/>
          <w:sz w:val="24"/>
          <w:highlight w:val="none"/>
        </w:rPr>
        <w:br w:type="page" w:clear="all"/>
      </w:r>
      <w:bookmarkStart w:id="734" w:name="_Toc15721"/>
      <w:r>
        <w:rPr>
          <w:rFonts w:ascii="宋体" w:hAnsi="宋体"/>
          <w:b/>
          <w:color w:val="auto"/>
          <w:sz w:val="36"/>
          <w:szCs w:val="36"/>
          <w:highlight w:val="none"/>
        </w:rPr>
        <w:t xml:space="preserve">第三章   </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Pr>
          <w:rFonts w:ascii="宋体" w:hAnsi="宋体"/>
          <w:b/>
          <w:color w:val="auto"/>
          <w:sz w:val="36"/>
          <w:szCs w:val="36"/>
          <w:highlight w:val="none"/>
        </w:rPr>
        <w:t xml:space="preserve">资格审查</w:t>
      </w:r>
      <w:bookmarkEnd w:id="734"/>
      <w:r/>
      <w:bookmarkStart w:id="735" w:name="_Toc487900382"/>
      <w:r/>
      <w:r/>
    </w:p>
    <w:p>
      <w:pPr>
        <w:jc w:val="center"/>
        <w:spacing w:line="360" w:lineRule="auto"/>
        <w:tabs>
          <w:tab w:val="left" w:pos="360" w:leader="none"/>
          <w:tab w:val="left" w:pos="900" w:leader="none"/>
        </w:tabs>
        <w:rPr>
          <w:rFonts w:ascii="宋体" w:hAnsi="宋体"/>
          <w:b/>
          <w:color w:val="auto"/>
          <w:sz w:val="24"/>
          <w:highlight w:val="none"/>
        </w:rPr>
        <w:outlineLvl w:val="1"/>
      </w:pPr>
      <w:r/>
      <w:bookmarkStart w:id="736" w:name="_Toc99301422"/>
      <w:r>
        <w:rPr>
          <w:rFonts w:ascii="宋体" w:hAnsi="宋体"/>
          <w:b/>
          <w:color w:val="auto"/>
          <w:sz w:val="24"/>
          <w:highlight w:val="none"/>
        </w:rPr>
        <w:t xml:space="preserve">一、资格审查程序</w:t>
      </w:r>
      <w:bookmarkEnd w:id="736"/>
      <w:r/>
      <w:r/>
    </w:p>
    <w:p>
      <w:pPr>
        <w:numPr>
          <w:ilvl w:val="0"/>
          <w:numId w:val="13"/>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《资格审查要求》中对格式有要求的，除招标文件另有规定外，均为“实质性格式”文件。</w:t>
      </w:r>
      <w:r/>
    </w:p>
    <w:p>
      <w:pPr>
        <w:numPr>
          <w:ilvl w:val="0"/>
          <w:numId w:val="13"/>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投标人《资格证明文件》有任何一项不符合《资格审查要求》的，资格审查不合格，其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3"/>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资格审查合格的投标人不足3家的，不进行评标。</w:t>
      </w:r>
      <w:r/>
    </w:p>
    <w:p>
      <w:pPr>
        <w:jc w:val="left"/>
        <w:widowControl/>
        <w:rPr>
          <w:rFonts w:ascii="宋体" w:hAnsi="宋体"/>
          <w:color w:val="auto"/>
          <w:sz w:val="24"/>
          <w:highlight w:val="none"/>
        </w:rPr>
      </w:pPr>
      <w:r>
        <w:rPr>
          <w:rFonts w:ascii="宋体" w:hAnsi="宋体"/>
          <w:color w:val="auto"/>
          <w:sz w:val="24"/>
          <w:highlight w:val="none"/>
        </w:rPr>
      </w:r>
      <w:r/>
    </w:p>
    <w:p>
      <w:pPr>
        <w:jc w:val="center"/>
        <w:spacing w:line="360" w:lineRule="auto"/>
        <w:tabs>
          <w:tab w:val="left" w:pos="360" w:leader="none"/>
          <w:tab w:val="left" w:pos="900" w:leader="none"/>
        </w:tabs>
        <w:rPr>
          <w:rFonts w:ascii="宋体" w:hAnsi="宋体"/>
          <w:b/>
          <w:color w:val="auto"/>
          <w:sz w:val="24"/>
          <w:highlight w:val="none"/>
        </w:rPr>
        <w:outlineLvl w:val="1"/>
      </w:pPr>
      <w:r>
        <w:rPr>
          <w:rFonts w:ascii="宋体" w:hAnsi="宋体"/>
          <w:b/>
          <w:color w:val="auto"/>
          <w:sz w:val="24"/>
          <w:highlight w:val="none"/>
        </w:rPr>
        <w:t xml:space="preserve">二、资格审查要求</w:t>
      </w:r>
      <w:r/>
    </w:p>
    <w:tbl>
      <w:tblPr>
        <w:tblStyle w:val="8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4" w:type="pct"/>
            <w:vAlign w:val="center"/>
            <w:textDirection w:val="lrTb"/>
            <w:noWrap w:val="false"/>
          </w:tcPr>
          <w:p>
            <w:pPr>
              <w:jc w:val="center"/>
              <w:tabs>
                <w:tab w:val="left" w:pos="1080" w:leader="none"/>
              </w:tabs>
              <w:rPr>
                <w:rFonts w:ascii="宋体" w:hAnsi="宋体"/>
                <w:b/>
                <w:color w:val="auto"/>
                <w:sz w:val="24"/>
                <w:highlight w:val="none"/>
              </w:rPr>
            </w:pPr>
            <w:r/>
            <w:bookmarkStart w:id="737" w:name="_Hlt487972895"/>
            <w:r/>
            <w:bookmarkEnd w:id="737"/>
            <w:r>
              <w:rPr>
                <w:rFonts w:ascii="宋体" w:hAnsi="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审查因素</w:t>
            </w:r>
            <w:r/>
          </w:p>
        </w:tc>
        <w:tc>
          <w:tcPr>
            <w:tcW w:w="259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882"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投标人资格声明函</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投标人信用记录</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auto"/>
                <w:sz w:val="24"/>
                <w:highlight w:val="none"/>
              </w:rPr>
              <w:t xml:space="preserve">投标无效</w:t>
            </w:r>
            <w:r>
              <w:rPr>
                <w:rFonts w:ascii="宋体" w:hAnsi="宋体"/>
                <w:color w:val="auto"/>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其它落实政府采购政策的资格要求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1134"/>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是否接受联合体投标</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本项目不接受联合体投标</w:t>
            </w:r>
            <w:r>
              <w:rPr>
                <w:rFonts w:hint="eastAsia" w:ascii="宋体" w:hAnsi="宋体"/>
                <w:color w:val="auto"/>
                <w:sz w:val="24"/>
                <w:highlight w:val="none"/>
              </w:rPr>
              <w:t xml:space="preserve">时</w:t>
            </w:r>
            <w:r>
              <w:rPr>
                <w:rFonts w:ascii="宋体" w:hAnsi="宋体"/>
                <w:color w:val="auto"/>
                <w:sz w:val="24"/>
                <w:highlight w:val="none"/>
              </w:rPr>
              <w:t xml:space="preserve">，</w:t>
            </w:r>
            <w:r>
              <w:rPr>
                <w:rFonts w:hint="eastAsia" w:ascii="宋体" w:hAnsi="宋体"/>
                <w:color w:val="auto"/>
                <w:sz w:val="24"/>
                <w:highlight w:val="none"/>
              </w:rPr>
              <w:t xml:space="preserve">投标人不得为联合体</w:t>
            </w:r>
            <w:r>
              <w:rPr>
                <w:rFonts w:ascii="宋体" w:hAnsi="宋体"/>
                <w:color w:val="auto"/>
                <w:sz w:val="24"/>
                <w:highlight w:val="none"/>
              </w:rPr>
              <w:t xml:space="preserve">。</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0"/>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hint="eastAsia"/>
                <w:color w:val="auto"/>
                <w:sz w:val="24"/>
                <w:highlight w:val="none"/>
              </w:rPr>
              <w:t xml:space="preserve">投标人须具有有效的《食品经营许可证》。</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735"/>
            <w:r/>
          </w:p>
        </w:tc>
      </w:tr>
    </w:tbl>
    <w:p>
      <w:pPr>
        <w:jc w:val="left"/>
        <w:widowControl/>
        <w:rPr>
          <w:rFonts w:ascii="宋体" w:hAnsi="宋体"/>
          <w:color w:val="auto"/>
          <w:sz w:val="24"/>
          <w:highlight w:val="none"/>
        </w:rPr>
      </w:pPr>
      <w:r/>
      <w:bookmarkStart w:id="738" w:name="_Toc127161490"/>
      <w:r/>
      <w:bookmarkStart w:id="739" w:name="_Toc353873940"/>
      <w:r/>
      <w:bookmarkStart w:id="740" w:name="_Toc353825550"/>
      <w:r/>
      <w:bookmarkStart w:id="741" w:name="_Toc127151779"/>
      <w:r/>
      <w:bookmarkStart w:id="742" w:name="_Toc226965858"/>
      <w:r>
        <w:rPr>
          <w:rFonts w:ascii="宋体" w:hAnsi="宋体"/>
          <w:color w:val="auto"/>
          <w:sz w:val="24"/>
          <w:highlight w:val="none"/>
        </w:rPr>
        <w:br w:type="page" w:clear="all"/>
      </w:r>
      <w:r/>
    </w:p>
    <w:p>
      <w:pPr>
        <w:jc w:val="center"/>
        <w:spacing w:line="360" w:lineRule="auto"/>
        <w:rPr>
          <w:rFonts w:ascii="宋体" w:hAnsi="宋体"/>
          <w:b/>
          <w:color w:val="auto"/>
          <w:sz w:val="36"/>
          <w:szCs w:val="36"/>
          <w:highlight w:val="none"/>
        </w:rPr>
        <w:outlineLvl w:val="0"/>
      </w:pPr>
      <w:r/>
      <w:bookmarkStart w:id="743" w:name="_Toc2798"/>
      <w:r>
        <w:rPr>
          <w:rFonts w:ascii="宋体" w:hAnsi="宋体"/>
          <w:b/>
          <w:color w:val="auto"/>
          <w:sz w:val="36"/>
          <w:szCs w:val="36"/>
          <w:highlight w:val="none"/>
        </w:rPr>
        <w:t xml:space="preserve">第四章   </w:t>
      </w:r>
      <w:bookmarkEnd w:id="738"/>
      <w:r/>
      <w:bookmarkEnd w:id="739"/>
      <w:r/>
      <w:bookmarkEnd w:id="740"/>
      <w:r/>
      <w:bookmarkEnd w:id="741"/>
      <w:r/>
      <w:bookmarkEnd w:id="742"/>
      <w:r/>
      <w:bookmarkStart w:id="744" w:name="_Hlt164229061"/>
      <w:r/>
      <w:bookmarkEnd w:id="744"/>
      <w:r>
        <w:rPr>
          <w:rFonts w:ascii="宋体" w:hAnsi="宋体"/>
          <w:b/>
          <w:color w:val="auto"/>
          <w:sz w:val="36"/>
          <w:szCs w:val="36"/>
          <w:highlight w:val="none"/>
        </w:rPr>
        <w:t xml:space="preserve">评标程序、评标方法和评标标准</w:t>
      </w:r>
      <w:bookmarkEnd w:id="743"/>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一、评标</w:t>
      </w:r>
      <w:r>
        <w:rPr>
          <w:rFonts w:hint="eastAsia" w:ascii="宋体" w:hAnsi="宋体"/>
          <w:b/>
          <w:color w:val="auto"/>
          <w:sz w:val="24"/>
          <w:highlight w:val="none"/>
        </w:rPr>
        <w:t xml:space="preserve">程序</w:t>
      </w:r>
      <w:r/>
    </w:p>
    <w:p>
      <w:pPr>
        <w:numPr>
          <w:ilvl w:val="0"/>
          <w:numId w:val="14"/>
        </w:numPr>
        <w:spacing w:line="360" w:lineRule="auto"/>
        <w:tabs>
          <w:tab w:val="left" w:pos="360" w:leader="none"/>
        </w:tabs>
        <w:rPr>
          <w:rFonts w:ascii="宋体" w:hAnsi="宋体"/>
          <w:color w:val="auto"/>
          <w:sz w:val="24"/>
          <w:highlight w:val="none"/>
        </w:rPr>
        <w:outlineLvl w:val="1"/>
      </w:pPr>
      <w:r/>
      <w:bookmarkStart w:id="745" w:name="_Toc226965814"/>
      <w:r/>
      <w:bookmarkStart w:id="746" w:name="_Toc164229382"/>
      <w:r/>
      <w:bookmarkStart w:id="747" w:name="_Toc264969231"/>
      <w:r/>
      <w:bookmarkStart w:id="748" w:name="_Toc195842906"/>
      <w:r/>
      <w:bookmarkStart w:id="749" w:name="_Toc150509292"/>
      <w:r/>
      <w:bookmarkStart w:id="750" w:name="_Toc305158809"/>
      <w:r/>
      <w:bookmarkStart w:id="751" w:name="_Toc127161455"/>
      <w:r/>
      <w:bookmarkStart w:id="752" w:name="_Toc265228379"/>
      <w:r/>
      <w:bookmarkStart w:id="753" w:name="_Toc150774641"/>
      <w:r/>
      <w:bookmarkStart w:id="754" w:name="_Toc151193855"/>
      <w:r/>
      <w:bookmarkStart w:id="755" w:name="_Toc151190168"/>
      <w:r/>
      <w:bookmarkStart w:id="756" w:name="_Toc149720834"/>
      <w:r/>
      <w:bookmarkStart w:id="757" w:name="_Toc164229236"/>
      <w:r/>
      <w:bookmarkStart w:id="758" w:name="_Toc151193711"/>
      <w:r/>
      <w:bookmarkStart w:id="759" w:name="_Toc226337237"/>
      <w:r/>
      <w:bookmarkStart w:id="760" w:name="_Toc151193639"/>
      <w:r/>
      <w:bookmarkStart w:id="761" w:name="_Toc164351635"/>
      <w:r/>
      <w:bookmarkStart w:id="762" w:name="_Toc150480779"/>
      <w:r/>
      <w:bookmarkStart w:id="763" w:name="_Toc127151742"/>
      <w:r/>
      <w:bookmarkStart w:id="764" w:name="_Toc164608810"/>
      <w:r/>
      <w:bookmarkStart w:id="765" w:name="_Toc164608655"/>
      <w:r/>
      <w:bookmarkStart w:id="766" w:name="_Toc226309785"/>
      <w:r/>
      <w:bookmarkStart w:id="767" w:name="_Toc226965731"/>
      <w:r/>
      <w:bookmarkStart w:id="768" w:name="_Toc151193929"/>
      <w:r/>
      <w:bookmarkStart w:id="769" w:name="_Toc127151541"/>
      <w:r/>
      <w:bookmarkStart w:id="770" w:name="_Toc150774746"/>
      <w:r/>
      <w:bookmarkStart w:id="771" w:name="_Toc151193783"/>
      <w:r/>
      <w:bookmarkStart w:id="772" w:name="_Toc305158883"/>
      <w:r/>
      <w:bookmarkStart w:id="773" w:name="_Toc142311043"/>
      <w:r/>
      <w:bookmarkStart w:id="774" w:name="_Toc353825551"/>
      <w:r/>
      <w:bookmarkStart w:id="775" w:name="_Toc353873941"/>
      <w:r/>
      <w:bookmarkStart w:id="776" w:name="_Toc305158897"/>
      <w:r/>
      <w:bookmarkStart w:id="777" w:name="_Toc150480793"/>
      <w:r/>
      <w:bookmarkStart w:id="778" w:name="_Toc195842920"/>
      <w:r/>
      <w:bookmarkStart w:id="779" w:name="_Toc264969245"/>
      <w:r/>
      <w:bookmarkStart w:id="780" w:name="_Toc226965828"/>
      <w:r/>
      <w:bookmarkStart w:id="781" w:name="_Toc142311057"/>
      <w:r/>
      <w:bookmarkStart w:id="782" w:name="_Toc305158823"/>
      <w:r/>
      <w:bookmarkStart w:id="783" w:name="_Toc127151555"/>
      <w:r/>
      <w:bookmarkStart w:id="784" w:name="_Toc353873665"/>
      <w:r/>
      <w:bookmarkStart w:id="785" w:name="_Toc150774760"/>
      <w:r/>
      <w:bookmarkStart w:id="786" w:name="_Toc353825545"/>
      <w:r/>
      <w:bookmarkStart w:id="787" w:name="_Toc353873935"/>
      <w:r/>
      <w:bookmarkStart w:id="788" w:name="_Toc265228393"/>
      <w:r/>
      <w:bookmarkStart w:id="789" w:name="_Toc226337251"/>
      <w:r>
        <w:rPr>
          <w:rFonts w:ascii="宋体" w:hAnsi="宋体"/>
          <w:color w:val="auto"/>
          <w:sz w:val="24"/>
          <w:highlight w:val="none"/>
        </w:rPr>
        <w:t xml:space="preserve">投标文件的符合性审查</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评标委员会对资格审查合格的投标人的投标文件进行符合性审查，以确定其是否满足招标文件的实质性要求。</w:t>
      </w:r>
      <w:bookmarkStart w:id="790" w:name="_Toc520356167"/>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评标委员会根据《符合性审查</w:t>
      </w:r>
      <w:r>
        <w:rPr>
          <w:rFonts w:hint="eastAsia" w:ascii="宋体" w:hAnsi="宋体"/>
          <w:color w:val="auto"/>
          <w:sz w:val="24"/>
          <w:highlight w:val="none"/>
        </w:rPr>
        <w:t xml:space="preserve">要求</w:t>
      </w:r>
      <w:r>
        <w:rPr>
          <w:rFonts w:ascii="宋体" w:hAnsi="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auto"/>
          <w:sz w:val="24"/>
          <w:highlight w:val="none"/>
        </w:rPr>
        <w:t xml:space="preserve">投标人《商务技术文件》有任何一项不符合</w:t>
      </w:r>
      <w:r>
        <w:rPr>
          <w:rFonts w:ascii="宋体" w:hAnsi="宋体"/>
          <w:color w:val="auto"/>
          <w:sz w:val="24"/>
          <w:highlight w:val="none"/>
        </w:rPr>
        <w:t xml:space="preserve">《符合性审查</w:t>
      </w:r>
      <w:r>
        <w:rPr>
          <w:rFonts w:hint="eastAsia" w:ascii="宋体" w:hAnsi="宋体"/>
          <w:color w:val="auto"/>
          <w:sz w:val="24"/>
          <w:highlight w:val="none"/>
        </w:rPr>
        <w:t xml:space="preserve">要求</w:t>
      </w:r>
      <w:r>
        <w:rPr>
          <w:rFonts w:ascii="宋体" w:hAnsi="宋体"/>
          <w:color w:val="auto"/>
          <w:sz w:val="24"/>
          <w:highlight w:val="none"/>
        </w:rPr>
        <w:t xml:space="preserve">》</w:t>
      </w:r>
      <w:bookmarkEnd w:id="790"/>
      <w:r>
        <w:rPr>
          <w:rFonts w:hint="eastAsia" w:ascii="宋体" w:hAnsi="宋体"/>
          <w:color w:val="auto"/>
          <w:sz w:val="24"/>
          <w:highlight w:val="none"/>
        </w:rPr>
        <w:t xml:space="preserve">要求的，</w:t>
      </w:r>
      <w:r>
        <w:rPr>
          <w:rFonts w:hint="eastAsia" w:ascii="宋体" w:hAnsi="宋体"/>
          <w:b/>
          <w:color w:val="auto"/>
          <w:sz w:val="24"/>
          <w:highlight w:val="none"/>
        </w:rPr>
        <w:t xml:space="preserve">投标无效</w:t>
      </w:r>
      <w:r>
        <w:rPr>
          <w:rFonts w:hint="eastAsia" w:ascii="宋体" w:hAnsi="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b/>
          <w:color w:val="auto"/>
          <w:sz w:val="24"/>
          <w:highlight w:val="none"/>
        </w:rPr>
      </w:pPr>
      <w:r>
        <w:rPr>
          <w:rFonts w:ascii="宋体" w:hAnsi="宋体"/>
          <w:b/>
          <w:color w:val="auto"/>
          <w:sz w:val="24"/>
          <w:highlight w:val="none"/>
        </w:rPr>
        <w:t xml:space="preserve">符合性审查</w:t>
      </w:r>
      <w:r>
        <w:rPr>
          <w:rFonts w:hint="eastAsia" w:ascii="宋体" w:hAnsi="宋体"/>
          <w:b/>
          <w:color w:val="auto"/>
          <w:sz w:val="24"/>
          <w:highlight w:val="none"/>
        </w:rPr>
        <w:t xml:space="preserve">要求</w:t>
      </w:r>
      <w:r/>
    </w:p>
    <w:tbl>
      <w:tblPr>
        <w:tblStyle w:val="8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序号</w:t>
            </w:r>
            <w:r/>
          </w:p>
        </w:tc>
        <w:tc>
          <w:tcPr>
            <w:tcW w:w="976"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审查因素</w:t>
            </w:r>
            <w:r/>
          </w:p>
        </w:tc>
        <w:tc>
          <w:tcPr>
            <w:tcW w:w="3620"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W w:w="1813" w:type="dxa"/>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法定代表人资格证明书、政府采购投标人信用承诺书和投标人管理关系或控股关系信息情况表</w:t>
            </w:r>
            <w:r/>
          </w:p>
        </w:tc>
        <w:tc>
          <w:tcPr>
            <w:tcW w:w="6725"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按招标文件要求提供</w:t>
            </w: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w:t>
            </w:r>
            <w:r>
              <w:rPr>
                <w:rFonts w:hint="eastAsia" w:ascii="宋体" w:hAnsi="宋体"/>
                <w:color w:val="auto"/>
                <w:sz w:val="24"/>
                <w:highlight w:val="none"/>
              </w:rPr>
              <w:t xml:space="preserve">、投标人管理关系或控股关系信息情况表</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投标完整性</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未</w:t>
            </w:r>
            <w:r>
              <w:rPr>
                <w:rFonts w:ascii="宋体" w:hAnsi="宋体"/>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rPr>
                <w:rFonts w:hint="eastAsia" w:ascii="宋体" w:hAnsi="宋体"/>
                <w:color w:val="auto"/>
                <w:sz w:val="24"/>
                <w:highlight w:val="none"/>
              </w:rPr>
              <w:t xml:space="preserve">未</w:t>
            </w:r>
            <w:r>
              <w:rPr>
                <w:rFonts w:ascii="宋体" w:hAnsi="宋体"/>
                <w:color w:val="auto"/>
                <w:sz w:val="24"/>
                <w:highlight w:val="none"/>
              </w:rPr>
              <w:t xml:space="preserve">超过招标文件中规定的项目/采购包预算金额或者项目/采购包最高限价</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报价唯一性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hint="eastAsia" w:ascii="宋体" w:hAnsi="宋体"/>
                <w:color w:val="auto"/>
                <w:sz w:val="24"/>
                <w:highlight w:val="none"/>
              </w:rPr>
              <w:t xml:space="preserve">出现可选择性或可调整的报价（招标文件另有规定的除外）</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投标有效期</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投标文件中承诺的投标有效期</w:t>
            </w:r>
            <w:r>
              <w:rPr>
                <w:rFonts w:hint="eastAsia" w:ascii="宋体" w:hAnsi="宋体"/>
                <w:color w:val="auto"/>
                <w:sz w:val="24"/>
                <w:highlight w:val="none"/>
              </w:rPr>
              <w:t xml:space="preserve">满足</w:t>
            </w:r>
            <w:r>
              <w:rPr>
                <w:rFonts w:ascii="宋体" w:hAnsi="宋体"/>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签署、加盖公章</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7</w:t>
            </w:r>
            <w:r/>
          </w:p>
        </w:tc>
        <w:tc>
          <w:tcPr>
            <w:tcW w:w="976"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实质性格式</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标记为</w:t>
            </w:r>
            <w:r>
              <w:rPr>
                <w:rFonts w:ascii="宋体" w:hAnsi="宋体"/>
                <w:color w:val="auto"/>
                <w:sz w:val="24"/>
                <w:highlight w:val="none"/>
              </w:rPr>
              <w:t xml:space="preserve">“实质性格式”的</w:t>
            </w:r>
            <w:r>
              <w:rPr>
                <w:rFonts w:hint="eastAsia" w:ascii="宋体" w:hAnsi="宋体"/>
                <w:color w:val="auto"/>
                <w:sz w:val="24"/>
                <w:highlight w:val="none"/>
              </w:rPr>
              <w:t xml:space="preserve">文件均按</w:t>
            </w:r>
            <w:r>
              <w:rPr>
                <w:rFonts w:ascii="宋体" w:hAnsi="宋体"/>
                <w:color w:val="auto"/>
                <w:sz w:val="24"/>
                <w:highlight w:val="none"/>
              </w:rPr>
              <w:t xml:space="preserve">招标文件</w:t>
            </w:r>
            <w:r>
              <w:rPr>
                <w:rFonts w:hint="eastAsia" w:ascii="宋体" w:hAnsi="宋体"/>
                <w:color w:val="auto"/>
                <w:sz w:val="24"/>
                <w:highlight w:val="none"/>
              </w:rPr>
              <w:t xml:space="preserve">要求提供；</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s="Segoe UI Symbol"/>
                <w:color w:val="auto"/>
                <w:sz w:val="24"/>
                <w:highlight w:val="none"/>
              </w:rPr>
              <w:t xml:space="preserve">★</w:t>
            </w:r>
            <w:r>
              <w:rPr>
                <w:rFonts w:ascii="宋体" w:hAnsi="宋体"/>
                <w:color w:val="auto"/>
                <w:sz w:val="24"/>
                <w:highlight w:val="none"/>
              </w:rPr>
              <w:t xml:space="preserve">号条款响应</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投标文件满足招标文件</w:t>
            </w:r>
            <w:r>
              <w:rPr>
                <w:rFonts w:ascii="宋体" w:hAnsi="宋体"/>
                <w:color w:val="auto"/>
                <w:sz w:val="24"/>
                <w:highlight w:val="none"/>
              </w:rPr>
              <w:t xml:space="preserve">第五章《采购需求》</w:t>
            </w:r>
            <w:r>
              <w:rPr>
                <w:rFonts w:ascii="宋体" w:hAnsi="宋体"/>
                <w:color w:val="auto"/>
                <w:sz w:val="24"/>
                <w:highlight w:val="none"/>
              </w:rPr>
              <w:t xml:space="preserve">中</w:t>
            </w:r>
            <w:r>
              <w:rPr>
                <w:rFonts w:ascii="宋体" w:hAnsi="宋体" w:cs="Segoe UI Symbol"/>
                <w:color w:val="auto"/>
                <w:sz w:val="24"/>
                <w:highlight w:val="none"/>
              </w:rPr>
              <w:t xml:space="preserve">★</w:t>
            </w:r>
            <w:r>
              <w:rPr>
                <w:rFonts w:ascii="宋体" w:hAnsi="宋体"/>
                <w:color w:val="auto"/>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9</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分包承担主体资质（如有）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分包承担主体具备《投标人须知资料表》载明的资质条件</w:t>
            </w:r>
            <w:r>
              <w:rPr>
                <w:rFonts w:hint="eastAsia" w:ascii="宋体" w:hAnsi="宋体"/>
                <w:color w:val="auto"/>
                <w:sz w:val="24"/>
                <w:highlight w:val="none"/>
              </w:rPr>
              <w:t xml:space="preserve">且</w:t>
            </w:r>
            <w:r>
              <w:rPr>
                <w:rFonts w:ascii="宋体" w:hAnsi="宋体"/>
                <w:color w:val="auto"/>
                <w:sz w:val="24"/>
                <w:highlight w:val="none"/>
              </w:rPr>
              <w:t xml:space="preserve">提供</w:t>
            </w:r>
            <w:r>
              <w:rPr>
                <w:rFonts w:hint="eastAsia" w:ascii="宋体" w:hAnsi="宋体"/>
                <w:color w:val="auto"/>
                <w:sz w:val="24"/>
                <w:highlight w:val="none"/>
              </w:rPr>
              <w:t xml:space="preserve">了</w:t>
            </w:r>
            <w:r>
              <w:rPr>
                <w:rFonts w:ascii="宋体" w:hAnsi="宋体"/>
                <w:color w:val="auto"/>
                <w:sz w:val="24"/>
                <w:highlight w:val="none"/>
              </w:rPr>
              <w:t xml:space="preserve">资质证书电子件</w:t>
            </w:r>
            <w:r>
              <w:rPr>
                <w:rFonts w:hint="eastAsia" w:ascii="宋体" w:hAnsi="宋体"/>
                <w:color w:val="auto"/>
                <w:sz w:val="24"/>
                <w:highlight w:val="none"/>
              </w:rPr>
              <w:t xml:space="preserve">（如有）</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10</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分包意向协议</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按招标文件规定签订并提供分包意向协议原件的电子件的；</w:t>
            </w:r>
            <w:r>
              <w:rPr>
                <w:rFonts w:hint="eastAsia" w:ascii="宋体" w:hAnsi="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11</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报价的修正（如有）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不涉及报价修正</w:t>
            </w:r>
            <w:r>
              <w:rPr>
                <w:rFonts w:ascii="宋体" w:hAnsi="宋体"/>
                <w:color w:val="auto"/>
                <w:sz w:val="24"/>
                <w:highlight w:val="none"/>
              </w:rPr>
              <w:t xml:space="preserve">，或投标文件报价出现前后不一致</w:t>
            </w:r>
            <w:r>
              <w:rPr>
                <w:rFonts w:hint="eastAsia" w:ascii="宋体" w:hAnsi="宋体"/>
                <w:color w:val="auto"/>
                <w:sz w:val="24"/>
                <w:highlight w:val="none"/>
              </w:rPr>
              <w:t xml:space="preserve">时</w:t>
            </w:r>
            <w:r>
              <w:rPr>
                <w:rFonts w:ascii="宋体" w:hAnsi="宋体"/>
                <w:color w:val="auto"/>
                <w:sz w:val="24"/>
                <w:highlight w:val="none"/>
              </w:rPr>
              <w:t xml:space="preserve">，投标人对修正后的报价予</w:t>
            </w:r>
            <w:r>
              <w:rPr>
                <w:rFonts w:hint="eastAsia" w:ascii="宋体" w:hAnsi="宋体"/>
                <w:color w:val="auto"/>
                <w:sz w:val="24"/>
                <w:highlight w:val="none"/>
              </w:rPr>
              <w:t xml:space="preserve">以</w:t>
            </w:r>
            <w:r>
              <w:rPr>
                <w:rFonts w:ascii="宋体" w:hAnsi="宋体"/>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报价合理，或</w:t>
            </w:r>
            <w:r>
              <w:rPr>
                <w:rFonts w:hint="eastAsia" w:ascii="宋体" w:hAnsi="宋体"/>
                <w:color w:val="auto"/>
                <w:sz w:val="24"/>
                <w:highlight w:val="none"/>
              </w:rPr>
              <w:t xml:space="preserve">投标人的报价明显低于其他通过符合性审查投标人的报价，</w:t>
            </w:r>
            <w:r>
              <w:rPr>
                <w:rFonts w:ascii="宋体" w:hAnsi="宋体"/>
                <w:color w:val="auto"/>
                <w:sz w:val="24"/>
                <w:highlight w:val="none"/>
              </w:rPr>
              <w:t xml:space="preserve">有可能影响产品质量或者不能诚信履约的</w:t>
            </w:r>
            <w:r>
              <w:rPr>
                <w:rFonts w:hint="eastAsia" w:ascii="宋体" w:hAnsi="宋体"/>
                <w:color w:val="auto"/>
                <w:sz w:val="24"/>
                <w:highlight w:val="none"/>
              </w:rPr>
              <w:t xml:space="preserve">，能够应评标委员会要求在规定时间内证明其报价合理性的</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进口产品</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国家有关部门对投标人的投标产品有强制性规定或要求的（如相应技术、安全、节能和环保等），投标人的投标产品</w:t>
            </w:r>
            <w:r>
              <w:rPr>
                <w:rFonts w:hint="eastAsia" w:ascii="宋体" w:hAnsi="宋体"/>
                <w:color w:val="auto"/>
                <w:sz w:val="24"/>
                <w:highlight w:val="none"/>
              </w:rPr>
              <w:t xml:space="preserve">应</w:t>
            </w:r>
            <w:r>
              <w:rPr>
                <w:rFonts w:ascii="宋体" w:hAnsi="宋体"/>
                <w:color w:val="auto"/>
                <w:sz w:val="24"/>
                <w:highlight w:val="none"/>
              </w:rPr>
              <w:t xml:space="preserve">符合相应规定或要求</w:t>
            </w:r>
            <w:r>
              <w:rPr>
                <w:rFonts w:hint="eastAsia" w:ascii="宋体" w:hAnsi="宋体"/>
                <w:color w:val="auto"/>
                <w:sz w:val="24"/>
                <w:highlight w:val="none"/>
              </w:rPr>
              <w:t xml:space="preserve">，并提供证明文件电子件：</w:t>
            </w:r>
            <w:r/>
          </w:p>
          <w:p>
            <w:pPr>
              <w:jc w:val="lef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公平竞争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串通投标</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17</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附加条件</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ascii="宋体" w:hAnsi="宋体"/>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其他无效情形</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rFonts w:ascii="宋体" w:hAnsi="宋体"/>
          <w:color w:val="auto"/>
          <w:sz w:val="24"/>
          <w:highlight w:val="none"/>
        </w:rPr>
        <w:sectPr>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numPr>
          <w:ilvl w:val="0"/>
          <w:numId w:val="14"/>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投标文件有关事项的澄清或者说明</w:t>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 xml:space="preserve">电子</w:t>
      </w:r>
      <w:r>
        <w:rPr>
          <w:rFonts w:ascii="宋体" w:hAnsi="宋体"/>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的时间内提供书面说明，必要时提交相关证明材料；若投标人不能证明其报价合理性，评标委员会将其作为</w:t>
      </w:r>
      <w:r>
        <w:rPr>
          <w:rFonts w:ascii="宋体" w:hAnsi="宋体"/>
          <w:b/>
          <w:color w:val="auto"/>
          <w:sz w:val="24"/>
          <w:highlight w:val="none"/>
        </w:rPr>
        <w:t xml:space="preserve">无效投标处理</w:t>
      </w:r>
      <w:r>
        <w:rPr>
          <w:rFonts w:ascii="宋体" w:hAnsi="宋体"/>
          <w:color w:val="auto"/>
          <w:sz w:val="24"/>
          <w:highlight w:val="none"/>
        </w:rPr>
        <w:t xml:space="preserve">。</w:t>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的时间内对此进行书面确认，投标人不确认的，视为将一个采购包中的内容拆开投标，其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u w:val="single"/>
        </w:rPr>
      </w:pPr>
      <w:r>
        <w:rPr>
          <w:rFonts w:ascii="宋体" w:hAnsi="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同时出现两种以上不一致的，按照前款规定的顺序修正。修正后的报价经投标人书面确认后产生约束力，投标人不确认的，其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14"/>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b/>
          <w:bCs/>
          <w:color w:val="auto"/>
          <w:sz w:val="24"/>
          <w:highlight w:val="none"/>
        </w:rPr>
        <w:t xml:space="preserve">评审过程中出现下列情形之一的，评审委员会应当启动异常低价投标（ 响应）审查程序：</w:t>
      </w:r>
      <w:r>
        <w:rPr>
          <w:rFonts w:hint="eastAsia" w:ascii="宋体" w:hAnsi="宋体" w:cs="宋体"/>
          <w:color w:val="auto"/>
          <w:sz w:val="24"/>
          <w:highlight w:val="none"/>
        </w:rPr>
        <w:t xml:space="preserve">① 投标（响应）报价低于全部通过符合性审查供应商投标（响应）报价平均值50%的，即投标（响应）报价&lt;全部通过符合性审查供应商投标（响应）报价平均值×50%；②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w:t>
      </w:r>
      <w:r>
        <w:rPr>
          <w:rFonts w:hint="eastAsia" w:ascii="宋体" w:hAnsi="宋体" w:cs="宋体"/>
          <w:color w:val="auto"/>
          <w:sz w:val="24"/>
          <w:highlight w:val="none"/>
        </w:rPr>
        <w:t xml:space="preserve">有可能影响产品质量或者不能诚信履约的其他情形。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对于未预留份额专门面向中小企业采购的采购项目，以及预留份额项目中的非预留部分采购包，对</w:t>
      </w:r>
      <w:r>
        <w:rPr>
          <w:rFonts w:ascii="宋体" w:hAnsi="宋体"/>
          <w:b/>
          <w:color w:val="auto"/>
          <w:sz w:val="24"/>
          <w:highlight w:val="none"/>
        </w:rPr>
        <w:t xml:space="preserve">小微企业</w:t>
      </w:r>
      <w:r>
        <w:rPr>
          <w:rFonts w:ascii="宋体" w:hAnsi="宋体"/>
          <w:color w:val="auto"/>
          <w:sz w:val="24"/>
          <w:highlight w:val="none"/>
        </w:rPr>
        <w:t xml:space="preserve">报价给予</w:t>
      </w:r>
      <w:r>
        <w:rPr>
          <w:rFonts w:hint="eastAsia" w:ascii="宋体" w:hAnsi="宋体"/>
          <w:b/>
          <w:bCs/>
          <w:color w:val="auto"/>
          <w:sz w:val="24"/>
          <w:highlight w:val="none"/>
          <w:u w:val="single"/>
          <w:lang w:val="en-US" w:eastAsia="zh-CN"/>
        </w:rPr>
        <w:t xml:space="preserve">2</w:t>
      </w:r>
      <w:r>
        <w:rPr>
          <w:rFonts w:hint="eastAsia" w:ascii="宋体" w:hAnsi="宋体"/>
          <w:b/>
          <w:bCs/>
          <w:color w:val="auto"/>
          <w:sz w:val="24"/>
          <w:highlight w:val="none"/>
          <w:u w:val="single"/>
        </w:rPr>
        <w:t xml:space="preserve">0</w:t>
      </w:r>
      <w:r>
        <w:rPr>
          <w:rFonts w:ascii="宋体" w:hAnsi="宋体"/>
          <w:b/>
          <w:bCs/>
          <w:color w:val="auto"/>
          <w:sz w:val="24"/>
          <w:highlight w:val="none"/>
        </w:rPr>
        <w:t xml:space="preserve">%</w:t>
      </w:r>
      <w:r>
        <w:rPr>
          <w:rFonts w:ascii="宋体" w:hAnsi="宋体"/>
          <w:color w:val="auto"/>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w:t>
      </w:r>
      <w:r>
        <w:rPr>
          <w:rFonts w:ascii="宋体" w:hAnsi="宋体"/>
          <w:b/>
          <w:color w:val="auto"/>
          <w:sz w:val="24"/>
          <w:highlight w:val="none"/>
        </w:rPr>
        <w:t xml:space="preserve">小微企业</w:t>
      </w:r>
      <w:r>
        <w:rPr>
          <w:rFonts w:ascii="宋体" w:hAnsi="宋体"/>
          <w:color w:val="auto"/>
          <w:sz w:val="24"/>
          <w:highlight w:val="none"/>
        </w:rPr>
        <w:t xml:space="preserve">组成联合体或者允许大中型企业向一家或者多家</w:t>
      </w:r>
      <w:r>
        <w:rPr>
          <w:rFonts w:ascii="宋体" w:hAnsi="宋体"/>
          <w:b/>
          <w:color w:val="auto"/>
          <w:sz w:val="24"/>
          <w:highlight w:val="none"/>
        </w:rPr>
        <w:t xml:space="preserve">小微企业</w:t>
      </w:r>
      <w:r>
        <w:rPr>
          <w:rFonts w:ascii="宋体" w:hAnsi="宋体"/>
          <w:color w:val="auto"/>
          <w:sz w:val="24"/>
          <w:highlight w:val="none"/>
        </w:rPr>
        <w:t xml:space="preserve">分包的采购项目，对于联合协议或者分包意向协议约定</w:t>
      </w:r>
      <w:r>
        <w:rPr>
          <w:rFonts w:ascii="宋体" w:hAnsi="宋体"/>
          <w:b/>
          <w:color w:val="auto"/>
          <w:sz w:val="24"/>
          <w:highlight w:val="none"/>
        </w:rPr>
        <w:t xml:space="preserve">小微企业</w:t>
      </w:r>
      <w:r>
        <w:rPr>
          <w:rFonts w:ascii="宋体" w:hAnsi="宋体"/>
          <w:color w:val="auto"/>
          <w:sz w:val="24"/>
          <w:highlight w:val="none"/>
        </w:rPr>
        <w:t xml:space="preserve">的合同份额占到合同总金额 30%以上的联合体或者大中型企业的报价给予</w:t>
      </w:r>
      <w:r>
        <w:rPr>
          <w:rFonts w:hint="eastAsia" w:ascii="宋体" w:hAnsi="宋体"/>
          <w:color w:val="auto"/>
          <w:sz w:val="24"/>
          <w:highlight w:val="none"/>
          <w:u w:val="single"/>
        </w:rPr>
        <w:t xml:space="preserve">3</w:t>
      </w:r>
      <w:r>
        <w:rPr>
          <w:rFonts w:ascii="宋体" w:hAnsi="宋体"/>
          <w:color w:val="auto"/>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clear" w:pos="1980" w:leader="none"/>
          <w:tab w:val="left" w:pos="2014" w:leader="none"/>
        </w:tabs>
        <w:rPr>
          <w:rFonts w:ascii="宋体" w:hAnsi="宋体"/>
          <w:color w:val="auto"/>
          <w:sz w:val="24"/>
          <w:highlight w:val="none"/>
        </w:rPr>
      </w:pPr>
      <w:r>
        <w:rPr>
          <w:rFonts w:ascii="宋体" w:hAnsi="宋体"/>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4"/>
        </w:numPr>
        <w:ind w:left="1077" w:hanging="720"/>
        <w:spacing w:line="360" w:lineRule="auto"/>
        <w:tabs>
          <w:tab w:val="left" w:pos="10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numPr>
          <w:ilvl w:val="2"/>
          <w:numId w:val="14"/>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4"/>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4"/>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numPr>
          <w:ilvl w:val="2"/>
          <w:numId w:val="14"/>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4"/>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4"/>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4"/>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1135"/>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r>
      <w:r/>
    </w:p>
    <w:p>
      <w:pPr>
        <w:numPr>
          <w:ilvl w:val="0"/>
          <w:numId w:val="14"/>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投标文件的比较和评价</w:t>
      </w:r>
      <w:bookmarkEnd w:id="774"/>
      <w:r/>
      <w:bookmarkEnd w:id="775"/>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ascii="宋体" w:hAnsi="宋体"/>
          <w:color w:val="auto"/>
          <w:sz w:val="24"/>
          <w:highlight w:val="none"/>
        </w:rPr>
        <w:t xml:space="preserve">□最低评标价法，指投标文件满足招标文件全部实质性要求，且投标报价最低的投标人为中标候选人的评标方法。</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 xml:space="preserve">投标无效</w:t>
      </w:r>
      <w:r>
        <w:rPr>
          <w:rFonts w:ascii="宋体" w:hAnsi="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olor w:val="auto"/>
          <w:sz w:val="24"/>
          <w:highlight w:val="none"/>
          <w:u w:val="single"/>
        </w:rPr>
      </w:pPr>
      <w:r>
        <w:rPr>
          <w:rFonts w:ascii="宋体" w:hAnsi="宋体"/>
          <w:color w:val="auto"/>
          <w:sz w:val="24"/>
          <w:highlight w:val="none"/>
        </w:rPr>
        <w:t xml:space="preserve">□其他方式，具体要求：_____</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14"/>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关于无线局域网认证产品政府采购清单中的产品，优先采购的具体规定（如涉及）_____。</w:t>
      </w:r>
      <w:r/>
    </w:p>
    <w:p>
      <w:pPr>
        <w:numPr>
          <w:ilvl w:val="0"/>
          <w:numId w:val="14"/>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w:t>
      </w:r>
      <w:bookmarkStart w:id="791" w:name="_Toc226337242"/>
      <w:r/>
      <w:bookmarkStart w:id="792" w:name="_Toc151193644"/>
      <w:r/>
      <w:bookmarkStart w:id="793" w:name="_Toc195842911"/>
      <w:r/>
      <w:bookmarkStart w:id="794" w:name="_Toc151193934"/>
      <w:r/>
      <w:bookmarkStart w:id="795" w:name="_Toc226309790"/>
      <w:r/>
      <w:bookmarkStart w:id="796" w:name="_Toc226965736"/>
      <w:r/>
      <w:bookmarkStart w:id="797" w:name="_Toc127161460"/>
      <w:r/>
      <w:bookmarkStart w:id="798" w:name="_Toc150774646"/>
      <w:r/>
      <w:bookmarkStart w:id="799" w:name="_Toc149720839"/>
      <w:r/>
      <w:bookmarkStart w:id="800" w:name="_Toc265228384"/>
      <w:r/>
      <w:bookmarkStart w:id="801" w:name="_Toc520356170"/>
      <w:r/>
      <w:bookmarkStart w:id="802" w:name="_Toc150774751"/>
      <w:r/>
      <w:bookmarkStart w:id="803" w:name="_Toc305158888"/>
      <w:r/>
      <w:bookmarkStart w:id="804" w:name="_Toc127151546"/>
      <w:r/>
      <w:bookmarkStart w:id="805" w:name="_Toc264969236"/>
      <w:r/>
      <w:bookmarkStart w:id="806" w:name="_Toc127151747"/>
      <w:r/>
      <w:bookmarkStart w:id="807" w:name="_Toc150480784"/>
      <w:r/>
      <w:bookmarkStart w:id="808" w:name="_Toc164608660"/>
      <w:r/>
      <w:bookmarkStart w:id="809" w:name="_Toc164608815"/>
      <w:r/>
      <w:bookmarkStart w:id="810" w:name="_Toc151193860"/>
      <w:r/>
      <w:bookmarkStart w:id="811" w:name="_Toc164229387"/>
      <w:r/>
      <w:bookmarkStart w:id="812" w:name="_Toc151190173"/>
      <w:r/>
      <w:bookmarkStart w:id="813" w:name="_Toc164229241"/>
      <w:r/>
      <w:bookmarkStart w:id="814" w:name="_Toc151193716"/>
      <w:r/>
      <w:bookmarkStart w:id="815" w:name="_Ref467307010"/>
      <w:r/>
      <w:bookmarkStart w:id="816" w:name="_Toc151193788"/>
      <w:r/>
      <w:bookmarkStart w:id="817" w:name="_Toc164351640"/>
      <w:r/>
      <w:bookmarkStart w:id="818" w:name="_Toc226965819"/>
      <w:r/>
      <w:bookmarkStart w:id="819" w:name="_Toc150509297"/>
      <w:r/>
      <w:bookmarkStart w:id="820" w:name="_Toc305158814"/>
      <w:r/>
      <w:bookmarkStart w:id="821" w:name="_Toc142311048"/>
      <w:r>
        <w:rPr>
          <w:rFonts w:ascii="宋体" w:hAnsi="宋体"/>
          <w:color w:val="auto"/>
          <w:sz w:val="24"/>
          <w:highlight w:val="none"/>
        </w:rPr>
        <w:t xml:space="preserve">中标候选人名单</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83"/>
        <w:ind w:left="993" w:firstLine="136"/>
        <w:spacing w:line="360" w:lineRule="auto"/>
        <w:tabs>
          <w:tab w:val="left" w:pos="900" w:leader="none"/>
          <w:tab w:val="left" w:pos="2127" w:leader="none"/>
        </w:tabs>
        <w:rPr>
          <w:rFonts w:hint="default" w:hAnsi="宋体"/>
          <w:color w:val="auto"/>
          <w:sz w:val="24"/>
          <w:szCs w:val="24"/>
          <w:highlight w:val="none"/>
        </w:rPr>
      </w:pPr>
      <w:r>
        <w:rPr>
          <w:rFonts w:hint="default" w:hAnsi="宋体"/>
          <w:color w:val="auto"/>
          <w:sz w:val="24"/>
          <w:szCs w:val="24"/>
          <w:highlight w:val="none"/>
        </w:rPr>
        <w:t xml:space="preserve">□随机抽取</w:t>
      </w:r>
      <w:r/>
    </w:p>
    <w:p>
      <w:pPr>
        <w:pStyle w:val="883"/>
        <w:ind w:left="993" w:firstLine="136"/>
        <w:spacing w:line="360" w:lineRule="auto"/>
        <w:tabs>
          <w:tab w:val="left" w:pos="900" w:leader="none"/>
          <w:tab w:val="left" w:pos="2127" w:leader="none"/>
        </w:tabs>
        <w:rPr>
          <w:rFonts w:hint="default" w:hAnsi="宋体"/>
          <w:color w:val="auto"/>
          <w:sz w:val="24"/>
          <w:szCs w:val="24"/>
          <w:highlight w:val="none"/>
        </w:rPr>
      </w:pPr>
      <w:r>
        <w:rPr>
          <w:rFonts w:hAnsi="宋体"/>
          <w:color w:val="auto"/>
          <w:sz w:val="24"/>
          <w:szCs w:val="24"/>
          <w:highlight w:val="none"/>
        </w:rPr>
        <w:t xml:space="preserve">■</w:t>
      </w:r>
      <w:r>
        <w:rPr>
          <w:rFonts w:hint="default" w:hAnsi="宋体"/>
          <w:color w:val="auto"/>
          <w:sz w:val="24"/>
          <w:szCs w:val="24"/>
          <w:highlight w:val="none"/>
        </w:rPr>
        <w:t xml:space="preserve">其他方式，具体要求：</w:t>
      </w:r>
      <w:r>
        <w:rPr>
          <w:rFonts w:hAnsi="宋体"/>
          <w:color w:val="auto"/>
          <w:sz w:val="24"/>
          <w:szCs w:val="24"/>
          <w:highlight w:val="none"/>
          <w:u w:val="single"/>
        </w:rPr>
        <w:t xml:space="preserve">投标总价最低的</w:t>
      </w:r>
      <w:r/>
    </w:p>
    <w:p>
      <w:pPr>
        <w:pStyle w:val="883"/>
        <w:ind w:left="993" w:firstLine="136"/>
        <w:spacing w:line="360" w:lineRule="auto"/>
        <w:tabs>
          <w:tab w:val="left" w:pos="900" w:leader="none"/>
          <w:tab w:val="left" w:pos="2127" w:leader="none"/>
        </w:tabs>
        <w:rPr>
          <w:rFonts w:hint="default" w:hAnsi="宋体"/>
          <w:color w:val="auto"/>
          <w:sz w:val="24"/>
          <w:highlight w:val="none"/>
        </w:rPr>
      </w:pPr>
      <w:r>
        <w:rPr>
          <w:rFonts w:hAnsi="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评标委员会要对评分汇总情况进行复核，特别是对排名第一的、报价最低的、投标或</w:t>
      </w:r>
      <w:r>
        <w:rPr>
          <w:rFonts w:hint="eastAsia" w:ascii="宋体" w:hAnsi="宋体"/>
          <w:color w:val="auto"/>
          <w:sz w:val="24"/>
          <w:highlight w:val="none"/>
        </w:rPr>
        <w:t xml:space="preserve">响应</w:t>
      </w:r>
      <w:r>
        <w:rPr>
          <w:rFonts w:ascii="宋体" w:hAnsi="宋体"/>
          <w:color w:val="auto"/>
          <w:sz w:val="24"/>
          <w:highlight w:val="none"/>
        </w:rPr>
        <w:t xml:space="preserve">文件被认定为无效的情形进行重点复核。</w:t>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评标委员会将根据各投标人的评标排序，依次推荐本项目（</w:t>
      </w:r>
      <w:r>
        <w:rPr>
          <w:rFonts w:hint="eastAsia" w:ascii="宋体" w:hAnsi="宋体"/>
          <w:color w:val="auto"/>
          <w:sz w:val="24"/>
          <w:highlight w:val="none"/>
        </w:rPr>
        <w:t xml:space="preserve">各</w:t>
      </w:r>
      <w:r>
        <w:rPr>
          <w:rFonts w:ascii="宋体" w:hAnsi="宋体"/>
          <w:color w:val="auto"/>
          <w:sz w:val="24"/>
          <w:highlight w:val="none"/>
        </w:rPr>
        <w:t xml:space="preserve">采购包）的中标候选人，起草并签署评标报告。本项目（</w:t>
      </w:r>
      <w:r>
        <w:rPr>
          <w:rFonts w:hint="eastAsia" w:ascii="宋体" w:hAnsi="宋体"/>
          <w:color w:val="auto"/>
          <w:sz w:val="24"/>
          <w:highlight w:val="none"/>
        </w:rPr>
        <w:t xml:space="preserve">各</w:t>
      </w:r>
      <w:r>
        <w:rPr>
          <w:rFonts w:ascii="宋体" w:hAnsi="宋体"/>
          <w:color w:val="auto"/>
          <w:sz w:val="24"/>
          <w:highlight w:val="none"/>
        </w:rPr>
        <w:t xml:space="preserve">采购包）评标委员会共（各）推荐</w:t>
      </w:r>
      <w:r>
        <w:rPr>
          <w:rFonts w:hint="eastAsia" w:ascii="宋体" w:hAnsi="宋体"/>
          <w:color w:val="auto"/>
          <w:sz w:val="24"/>
          <w:highlight w:val="none"/>
        </w:rPr>
        <w:t xml:space="preserve">不少于3</w:t>
      </w:r>
      <w:r>
        <w:rPr>
          <w:rFonts w:ascii="宋体" w:hAnsi="宋体"/>
          <w:color w:val="auto"/>
          <w:sz w:val="24"/>
          <w:highlight w:val="none"/>
        </w:rPr>
        <w:t xml:space="preserve">名中标候选人。</w:t>
      </w:r>
      <w:r/>
    </w:p>
    <w:p>
      <w:pPr>
        <w:numPr>
          <w:ilvl w:val="0"/>
          <w:numId w:val="14"/>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报告违法行为</w:t>
      </w:r>
      <w:r/>
    </w:p>
    <w:p>
      <w:pPr>
        <w:numPr>
          <w:ilvl w:val="1"/>
          <w:numId w:val="14"/>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评标委员会在评标过程中发现投标人有行贿、提供虚假材料或者串通等违法行为时，有向采购人、采购代理机构或者有关部门报告的职责。</w:t>
      </w:r>
      <w:r/>
    </w:p>
    <w:p>
      <w:pPr>
        <w:numPr>
          <w:ilvl w:val="0"/>
          <w:numId w:val="16"/>
        </w:numPr>
        <w:widowControl/>
        <w:rPr>
          <w:rFonts w:ascii="宋体" w:hAnsi="宋体"/>
          <w:b/>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 xml:space="preserve">评标标准</w:t>
      </w:r>
      <w:r/>
    </w:p>
    <w:tbl>
      <w:tblPr>
        <w:tblStyle w:val="869"/>
        <w:tblW w:w="9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324"/>
        <w:gridCol w:w="6314"/>
        <w:gridCol w:w="1091"/>
      </w:tblGrid>
      <w:tr>
        <w:trPr>
          <w:jc w:val="center"/>
          <w:trHeight w:val="535"/>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评分细则</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分值</w:t>
            </w:r>
            <w:r/>
          </w:p>
        </w:tc>
      </w:tr>
      <w:tr>
        <w:trPr>
          <w:jc w:val="center"/>
          <w:trHeight w:val="1412"/>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ind w:left="-38"/>
              <w:rPr>
                <w:rFonts w:hint="eastAsia" w:ascii="宋体" w:hAnsi="宋体" w:cs="宋体"/>
                <w:color w:val="auto"/>
                <w:sz w:val="24"/>
                <w:highlight w:val="none"/>
              </w:rPr>
            </w:pPr>
            <w:r>
              <w:rPr>
                <w:rFonts w:hint="eastAsia" w:ascii="宋体" w:hAnsi="宋体" w:cs="宋体"/>
                <w:color w:val="auto"/>
                <w:sz w:val="24"/>
                <w:highlight w:val="none"/>
              </w:rPr>
              <w:t xml:space="preserve">满足招标文件要求且有效投标中优惠率最高值为评标基准优惠率，其价格分为满分。其他投标人的价格分统一按照下列公式计算： 投标报价得分=（投标人优惠率÷评标基准优惠率）×</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100</w:t>
            </w:r>
            <w:r>
              <w:rPr>
                <w:rFonts w:hint="eastAsia" w:ascii="宋体" w:hAnsi="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20</w:t>
            </w:r>
            <w:r/>
          </w:p>
        </w:tc>
      </w:tr>
      <w:tr>
        <w:trPr>
          <w:jc w:val="center"/>
          <w:trHeight w:val="380"/>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技术分</w:t>
            </w:r>
            <w:r/>
          </w:p>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主观分</w:t>
            </w:r>
            <w:r>
              <w:rPr>
                <w:rFonts w:hint="eastAsia" w:ascii="宋体" w:hAnsi="宋体" w:cs="宋体"/>
                <w:bCs/>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53</w:t>
            </w:r>
            <w:r/>
          </w:p>
        </w:tc>
      </w:tr>
      <w:tr>
        <w:trPr>
          <w:jc w:val="center"/>
          <w:trHeight w:val="1569"/>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病员食堂定价与营收提升专项举措</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 xml:space="preserve">评委根据投标人</w:t>
            </w:r>
            <w:r>
              <w:rPr>
                <w:rFonts w:hint="eastAsia" w:ascii="宋体" w:hAnsi="宋体" w:eastAsia="宋体" w:cs="宋体"/>
                <w:b/>
                <w:bCs w:val="0"/>
                <w:color w:val="auto"/>
                <w:sz w:val="24"/>
                <w:highlight w:val="none"/>
              </w:rPr>
              <w:t xml:space="preserve">针对本项目</w:t>
            </w:r>
            <w:r>
              <w:rPr>
                <w:rFonts w:hint="eastAsia" w:ascii="宋体" w:hAnsi="宋体" w:eastAsia="宋体" w:cs="宋体"/>
                <w:b/>
                <w:bCs w:val="0"/>
                <w:color w:val="auto"/>
                <w:sz w:val="24"/>
                <w:highlight w:val="none"/>
                <w:lang w:val="en-US" w:eastAsia="zh-CN"/>
              </w:rPr>
              <w:t xml:space="preserve">提供的</w:t>
            </w:r>
            <w:r>
              <w:rPr>
                <w:rFonts w:hint="eastAsia" w:ascii="宋体" w:hAnsi="宋体" w:eastAsia="宋体" w:cs="宋体"/>
                <w:b/>
                <w:bCs w:val="0"/>
                <w:color w:val="auto"/>
                <w:sz w:val="24"/>
                <w:highlight w:val="none"/>
              </w:rPr>
              <w:t xml:space="preserve">病员食堂定价与营收提升专项举措进行综合</w:t>
            </w:r>
            <w:r>
              <w:rPr>
                <w:rFonts w:hint="eastAsia" w:ascii="宋体" w:hAnsi="宋体" w:eastAsia="宋体" w:cs="宋体"/>
                <w:b/>
                <w:bCs w:val="0"/>
                <w:color w:val="auto"/>
                <w:sz w:val="24"/>
                <w:highlight w:val="none"/>
                <w:lang w:eastAsia="zh-CN"/>
              </w:rPr>
              <w:t xml:space="preserve">评审：</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病员食堂定价与营收提升专项举措</w:t>
            </w:r>
            <w:r>
              <w:rPr>
                <w:rFonts w:hint="eastAsia" w:ascii="宋体" w:hAnsi="宋体" w:eastAsia="宋体" w:cs="宋体"/>
                <w:bCs/>
                <w:color w:val="auto"/>
                <w:sz w:val="24"/>
                <w:highlight w:val="none"/>
                <w:lang w:val="en-US" w:eastAsia="zh-CN"/>
              </w:rPr>
              <w:t xml:space="preserve">架构合理、制度健全、分工明确、流程规范、针对性强的得8分；</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病员食堂定价与营收提升专项举措架构及管理制度</w:t>
            </w:r>
            <w:r>
              <w:rPr>
                <w:rFonts w:hint="eastAsia" w:ascii="宋体" w:hAnsi="宋体" w:eastAsia="宋体" w:cs="宋体"/>
                <w:bCs/>
                <w:color w:val="auto"/>
                <w:sz w:val="24"/>
                <w:highlight w:val="none"/>
                <w:lang w:val="en-US" w:eastAsia="zh-CN"/>
              </w:rPr>
              <w:t xml:space="preserve">合理、内容较全面、具有可操作性的得6分；</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病员食堂定价与营收提升专项举措架构及管理制度</w:t>
            </w:r>
            <w:r>
              <w:rPr>
                <w:rFonts w:hint="eastAsia" w:ascii="宋体" w:hAnsi="宋体" w:eastAsia="宋体" w:cs="宋体"/>
                <w:bCs/>
                <w:color w:val="auto"/>
                <w:sz w:val="24"/>
                <w:highlight w:val="none"/>
                <w:lang w:val="en-US" w:eastAsia="zh-CN"/>
              </w:rPr>
              <w:t xml:space="preserve">内容简单、可操作性一般的得4分；</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病员食堂定价与营收提升专项举措</w:t>
            </w:r>
            <w:r>
              <w:rPr>
                <w:rFonts w:hint="eastAsia" w:ascii="宋体" w:hAnsi="宋体" w:eastAsia="宋体" w:cs="宋体"/>
                <w:bCs/>
                <w:color w:val="auto"/>
                <w:sz w:val="24"/>
                <w:highlight w:val="none"/>
                <w:lang w:val="en-US" w:eastAsia="zh-CN"/>
              </w:rPr>
              <w:t xml:space="preserve">架构及管理制度内容不全面，可操作性不强的得2分；</w:t>
            </w:r>
            <w:r/>
          </w:p>
          <w:p>
            <w:pPr>
              <w:jc w:val="left"/>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未提供相关内容的不得分。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w:t>
            </w:r>
            <w:r/>
          </w:p>
        </w:tc>
      </w:tr>
      <w:tr>
        <w:trPr>
          <w:jc w:val="center"/>
          <w:trHeight w:val="752"/>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职工食堂服务与营收稳定专项举措</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 xml:space="preserve">评委根据投标人</w:t>
            </w:r>
            <w:r>
              <w:rPr>
                <w:rFonts w:hint="eastAsia" w:ascii="宋体" w:hAnsi="宋体" w:eastAsia="宋体" w:cs="宋体"/>
                <w:b/>
                <w:bCs w:val="0"/>
                <w:color w:val="auto"/>
                <w:sz w:val="24"/>
                <w:highlight w:val="none"/>
              </w:rPr>
              <w:t xml:space="preserve">针对本项目</w:t>
            </w:r>
            <w:r>
              <w:rPr>
                <w:rFonts w:hint="eastAsia" w:ascii="宋体" w:hAnsi="宋体" w:eastAsia="宋体" w:cs="宋体"/>
                <w:b/>
                <w:bCs w:val="0"/>
                <w:color w:val="auto"/>
                <w:sz w:val="24"/>
                <w:highlight w:val="none"/>
                <w:lang w:val="en-US" w:eastAsia="zh-CN"/>
              </w:rPr>
              <w:t xml:space="preserve">提供的</w:t>
            </w:r>
            <w:r>
              <w:rPr>
                <w:rFonts w:hint="eastAsia" w:ascii="宋体" w:hAnsi="宋体" w:eastAsia="宋体" w:cs="宋体"/>
                <w:b/>
                <w:bCs w:val="0"/>
                <w:color w:val="auto"/>
                <w:sz w:val="24"/>
                <w:highlight w:val="none"/>
              </w:rPr>
              <w:t xml:space="preserve">职工食堂服务与营收稳定专项举措进行综合</w:t>
            </w:r>
            <w:r>
              <w:rPr>
                <w:rFonts w:hint="eastAsia" w:ascii="宋体" w:hAnsi="宋体" w:eastAsia="宋体" w:cs="宋体"/>
                <w:b/>
                <w:bCs w:val="0"/>
                <w:color w:val="auto"/>
                <w:sz w:val="24"/>
                <w:highlight w:val="none"/>
                <w:lang w:eastAsia="zh-CN"/>
              </w:rPr>
              <w:t xml:space="preserve">评审：</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职工食堂服务与营收稳定专项举措</w:t>
            </w:r>
            <w:r>
              <w:rPr>
                <w:rFonts w:hint="eastAsia" w:ascii="宋体" w:hAnsi="宋体" w:eastAsia="宋体" w:cs="宋体"/>
                <w:bCs/>
                <w:color w:val="auto"/>
                <w:sz w:val="24"/>
                <w:highlight w:val="none"/>
                <w:lang w:val="en-US" w:eastAsia="zh-CN"/>
              </w:rPr>
              <w:t xml:space="preserve">全面</w:t>
            </w:r>
            <w:r>
              <w:rPr>
                <w:rFonts w:hint="eastAsia" w:ascii="宋体" w:hAnsi="宋体" w:eastAsia="宋体" w:cs="宋体"/>
                <w:bCs/>
                <w:color w:val="auto"/>
                <w:sz w:val="24"/>
                <w:highlight w:val="none"/>
              </w:rPr>
              <w:t xml:space="preserve">、详尽准确、科学合理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针对性强的，得</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职工食堂服务与营收稳定专项举措较为</w:t>
            </w:r>
            <w:r>
              <w:rPr>
                <w:rFonts w:hint="eastAsia" w:ascii="宋体" w:hAnsi="宋体" w:eastAsia="宋体" w:cs="宋体"/>
                <w:bCs/>
                <w:color w:val="auto"/>
                <w:sz w:val="24"/>
                <w:highlight w:val="none"/>
                <w:lang w:val="en-US" w:eastAsia="zh-CN"/>
              </w:rPr>
              <w:t xml:space="preserve">全面科学</w:t>
            </w:r>
            <w:r>
              <w:rPr>
                <w:rFonts w:hint="eastAsia" w:ascii="宋体" w:hAnsi="宋体" w:eastAsia="宋体" w:cs="宋体"/>
                <w:bCs/>
                <w:color w:val="auto"/>
                <w:sz w:val="24"/>
                <w:highlight w:val="none"/>
              </w:rPr>
              <w:t xml:space="preserve">、符合实际、具有实用性的，得</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职工食堂服务与营收稳定专项举措</w:t>
            </w:r>
            <w:r>
              <w:rPr>
                <w:rFonts w:hint="eastAsia" w:ascii="宋体" w:hAnsi="宋体" w:eastAsia="宋体" w:cs="宋体"/>
                <w:bCs/>
                <w:color w:val="auto"/>
                <w:sz w:val="24"/>
                <w:highlight w:val="none"/>
                <w:lang w:val="en-US" w:eastAsia="zh-CN"/>
              </w:rPr>
              <w:t xml:space="preserve">内容简单</w:t>
            </w:r>
            <w:r>
              <w:rPr>
                <w:rFonts w:hint="eastAsia" w:ascii="宋体" w:hAnsi="宋体" w:eastAsia="宋体" w:cs="宋体"/>
                <w:bCs/>
                <w:color w:val="auto"/>
                <w:sz w:val="24"/>
                <w:highlight w:val="none"/>
              </w:rPr>
              <w:t xml:space="preserve">、实用性</w:t>
            </w:r>
            <w:r>
              <w:rPr>
                <w:rFonts w:hint="eastAsia" w:ascii="宋体" w:hAnsi="宋体" w:eastAsia="宋体" w:cs="宋体"/>
                <w:bCs/>
                <w:color w:val="auto"/>
                <w:sz w:val="24"/>
                <w:highlight w:val="none"/>
                <w:lang w:val="en-US" w:eastAsia="zh-CN"/>
              </w:rPr>
              <w:t xml:space="preserve">一般</w:t>
            </w:r>
            <w:r>
              <w:rPr>
                <w:rFonts w:hint="eastAsia" w:ascii="宋体" w:hAnsi="宋体" w:eastAsia="宋体" w:cs="宋体"/>
                <w:bCs/>
                <w:color w:val="auto"/>
                <w:sz w:val="24"/>
                <w:highlight w:val="none"/>
              </w:rPr>
              <w:t xml:space="preserve">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职工食堂服务与营收稳定专项举措空泛、缺乏针对性或可行性</w:t>
            </w:r>
            <w:r>
              <w:rPr>
                <w:rFonts w:hint="eastAsia" w:ascii="宋体" w:hAnsi="宋体" w:eastAsia="宋体" w:cs="宋体"/>
                <w:bCs/>
                <w:color w:val="auto"/>
                <w:sz w:val="24"/>
                <w:highlight w:val="none"/>
                <w:lang w:val="en-US" w:eastAsia="zh-CN"/>
              </w:rPr>
              <w:t xml:space="preserve">不强的</w:t>
            </w:r>
            <w:r>
              <w:rPr>
                <w:rFonts w:hint="eastAsia" w:ascii="宋体" w:hAnsi="宋体" w:eastAsia="宋体" w:cs="宋体"/>
                <w:bCs/>
                <w:color w:val="auto"/>
                <w:sz w:val="24"/>
                <w:highlight w:val="none"/>
              </w:rPr>
              <w:t xml:space="preserve">，得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未提供相关内容的不得分。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w:t>
            </w:r>
            <w:r/>
          </w:p>
        </w:tc>
      </w:tr>
      <w:tr>
        <w:trPr>
          <w:jc w:val="center"/>
          <w:trHeight w:val="752"/>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降本增效与减亏目标落地专项举措</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 xml:space="preserve">评委根据投标人</w:t>
            </w:r>
            <w:r>
              <w:rPr>
                <w:rFonts w:hint="eastAsia" w:ascii="宋体" w:hAnsi="宋体" w:eastAsia="宋体" w:cs="宋体"/>
                <w:b/>
                <w:bCs w:val="0"/>
                <w:color w:val="auto"/>
                <w:sz w:val="24"/>
                <w:highlight w:val="none"/>
              </w:rPr>
              <w:t xml:space="preserve">针对本项目</w:t>
            </w:r>
            <w:r>
              <w:rPr>
                <w:rFonts w:hint="eastAsia" w:ascii="宋体" w:hAnsi="宋体" w:eastAsia="宋体" w:cs="宋体"/>
                <w:b/>
                <w:bCs w:val="0"/>
                <w:color w:val="auto"/>
                <w:sz w:val="24"/>
                <w:highlight w:val="none"/>
                <w:lang w:val="en-US" w:eastAsia="zh-CN"/>
              </w:rPr>
              <w:t xml:space="preserve">提供的</w:t>
            </w:r>
            <w:r>
              <w:rPr>
                <w:rFonts w:hint="eastAsia" w:ascii="宋体" w:hAnsi="宋体" w:eastAsia="宋体" w:cs="宋体"/>
                <w:b/>
                <w:bCs w:val="0"/>
                <w:color w:val="auto"/>
                <w:sz w:val="24"/>
                <w:highlight w:val="none"/>
              </w:rPr>
              <w:t xml:space="preserve">降本增效与减亏目标落地专项举措进行综合</w:t>
            </w:r>
            <w:r>
              <w:rPr>
                <w:rFonts w:hint="eastAsia" w:ascii="宋体" w:hAnsi="宋体" w:eastAsia="宋体" w:cs="宋体"/>
                <w:b/>
                <w:bCs w:val="0"/>
                <w:color w:val="auto"/>
                <w:sz w:val="24"/>
                <w:highlight w:val="none"/>
                <w:lang w:eastAsia="zh-CN"/>
              </w:rPr>
              <w:t xml:space="preserve">评审：</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降本增效与减亏目标落地专项举措</w:t>
            </w:r>
            <w:r>
              <w:rPr>
                <w:rFonts w:hint="eastAsia" w:ascii="宋体" w:hAnsi="宋体" w:eastAsia="宋体" w:cs="宋体"/>
                <w:bCs/>
                <w:color w:val="auto"/>
                <w:sz w:val="24"/>
                <w:highlight w:val="none"/>
                <w:lang w:val="en-US" w:eastAsia="zh-CN"/>
              </w:rPr>
              <w:t xml:space="preserve">全面</w:t>
            </w:r>
            <w:r>
              <w:rPr>
                <w:rFonts w:hint="eastAsia" w:ascii="宋体" w:hAnsi="宋体" w:eastAsia="宋体" w:cs="宋体"/>
                <w:bCs/>
                <w:color w:val="auto"/>
                <w:sz w:val="24"/>
                <w:highlight w:val="none"/>
              </w:rPr>
              <w:t xml:space="preserve">、详尽准确、科学合理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针对性强的，得</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降本增效与减亏目标落地专项举措较为</w:t>
            </w:r>
            <w:r>
              <w:rPr>
                <w:rFonts w:hint="eastAsia" w:ascii="宋体" w:hAnsi="宋体" w:eastAsia="宋体" w:cs="宋体"/>
                <w:bCs/>
                <w:color w:val="auto"/>
                <w:sz w:val="24"/>
                <w:highlight w:val="none"/>
                <w:lang w:val="en-US" w:eastAsia="zh-CN"/>
              </w:rPr>
              <w:t xml:space="preserve">全面科学</w:t>
            </w:r>
            <w:r>
              <w:rPr>
                <w:rFonts w:hint="eastAsia" w:ascii="宋体" w:hAnsi="宋体" w:eastAsia="宋体" w:cs="宋体"/>
                <w:bCs/>
                <w:color w:val="auto"/>
                <w:sz w:val="24"/>
                <w:highlight w:val="none"/>
              </w:rPr>
              <w:t xml:space="preserve">、符合实际、具有实用性的，得</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降本增效与减亏目标落地专项举措</w:t>
            </w:r>
            <w:r>
              <w:rPr>
                <w:rFonts w:hint="eastAsia" w:ascii="宋体" w:hAnsi="宋体" w:eastAsia="宋体" w:cs="宋体"/>
                <w:bCs/>
                <w:color w:val="auto"/>
                <w:sz w:val="24"/>
                <w:highlight w:val="none"/>
                <w:lang w:val="en-US" w:eastAsia="zh-CN"/>
              </w:rPr>
              <w:t xml:space="preserve">内容简单</w:t>
            </w:r>
            <w:r>
              <w:rPr>
                <w:rFonts w:hint="eastAsia" w:ascii="宋体" w:hAnsi="宋体" w:eastAsia="宋体" w:cs="宋体"/>
                <w:bCs/>
                <w:color w:val="auto"/>
                <w:sz w:val="24"/>
                <w:highlight w:val="none"/>
              </w:rPr>
              <w:t xml:space="preserve">、实用性</w:t>
            </w:r>
            <w:r>
              <w:rPr>
                <w:rFonts w:hint="eastAsia" w:ascii="宋体" w:hAnsi="宋体" w:eastAsia="宋体" w:cs="宋体"/>
                <w:bCs/>
                <w:color w:val="auto"/>
                <w:sz w:val="24"/>
                <w:highlight w:val="none"/>
                <w:lang w:val="en-US" w:eastAsia="zh-CN"/>
              </w:rPr>
              <w:t xml:space="preserve">一般</w:t>
            </w:r>
            <w:r>
              <w:rPr>
                <w:rFonts w:hint="eastAsia" w:ascii="宋体" w:hAnsi="宋体" w:eastAsia="宋体" w:cs="宋体"/>
                <w:bCs/>
                <w:color w:val="auto"/>
                <w:sz w:val="24"/>
                <w:highlight w:val="none"/>
              </w:rPr>
              <w:t xml:space="preserve">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降本增效与减亏目标落地专项举措内容空泛、缺乏针对性或可行性</w:t>
            </w:r>
            <w:r>
              <w:rPr>
                <w:rFonts w:hint="eastAsia" w:ascii="宋体" w:hAnsi="宋体" w:eastAsia="宋体" w:cs="宋体"/>
                <w:bCs/>
                <w:color w:val="auto"/>
                <w:sz w:val="24"/>
                <w:highlight w:val="none"/>
                <w:lang w:val="en-US" w:eastAsia="zh-CN"/>
              </w:rPr>
              <w:t xml:space="preserve">不强的</w:t>
            </w:r>
            <w:r>
              <w:rPr>
                <w:rFonts w:hint="eastAsia" w:ascii="宋体" w:hAnsi="宋体" w:eastAsia="宋体" w:cs="宋体"/>
                <w:bCs/>
                <w:color w:val="auto"/>
                <w:sz w:val="24"/>
                <w:highlight w:val="none"/>
              </w:rPr>
              <w:t xml:space="preserve">，得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未提供相关内容的不得分。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w:t>
            </w:r>
            <w:r/>
          </w:p>
        </w:tc>
      </w:tr>
      <w:tr>
        <w:trPr>
          <w:jc w:val="center"/>
          <w:trHeight w:val="752"/>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职工、病员满意度提升与奖惩机制</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 xml:space="preserve">评委根据投标人</w:t>
            </w:r>
            <w:r>
              <w:rPr>
                <w:rFonts w:hint="eastAsia" w:ascii="宋体" w:hAnsi="宋体" w:eastAsia="宋体" w:cs="宋体"/>
                <w:b/>
                <w:bCs w:val="0"/>
                <w:color w:val="auto"/>
                <w:sz w:val="24"/>
                <w:highlight w:val="none"/>
              </w:rPr>
              <w:t xml:space="preserve">针对本项目</w:t>
            </w:r>
            <w:r>
              <w:rPr>
                <w:rFonts w:hint="eastAsia" w:ascii="宋体" w:hAnsi="宋体" w:eastAsia="宋体" w:cs="宋体"/>
                <w:b/>
                <w:bCs w:val="0"/>
                <w:color w:val="auto"/>
                <w:sz w:val="24"/>
                <w:highlight w:val="none"/>
                <w:lang w:val="en-US" w:eastAsia="zh-CN"/>
              </w:rPr>
              <w:t xml:space="preserve">提供的</w:t>
            </w:r>
            <w:r>
              <w:rPr>
                <w:rFonts w:hint="eastAsia" w:ascii="宋体" w:hAnsi="宋体" w:eastAsia="宋体" w:cs="宋体"/>
                <w:b/>
                <w:bCs w:val="0"/>
                <w:color w:val="auto"/>
                <w:sz w:val="24"/>
                <w:highlight w:val="none"/>
              </w:rPr>
              <w:t xml:space="preserve">职工、病员满意度提升与奖惩机制进行综合</w:t>
            </w:r>
            <w:r>
              <w:rPr>
                <w:rFonts w:hint="eastAsia" w:ascii="宋体" w:hAnsi="宋体" w:eastAsia="宋体" w:cs="宋体"/>
                <w:b/>
                <w:bCs w:val="0"/>
                <w:color w:val="auto"/>
                <w:sz w:val="24"/>
                <w:highlight w:val="none"/>
                <w:lang w:eastAsia="zh-CN"/>
              </w:rPr>
              <w:t xml:space="preserve">评审：</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职工、病员满意度提升与奖惩机制</w:t>
            </w:r>
            <w:r>
              <w:rPr>
                <w:rFonts w:hint="eastAsia" w:ascii="宋体" w:hAnsi="宋体" w:eastAsia="宋体" w:cs="宋体"/>
                <w:bCs/>
                <w:color w:val="auto"/>
                <w:sz w:val="24"/>
                <w:highlight w:val="none"/>
                <w:lang w:val="en-US" w:eastAsia="zh-CN"/>
              </w:rPr>
              <w:t xml:space="preserve">全面</w:t>
            </w:r>
            <w:r>
              <w:rPr>
                <w:rFonts w:hint="eastAsia" w:ascii="宋体" w:hAnsi="宋体" w:eastAsia="宋体" w:cs="宋体"/>
                <w:bCs/>
                <w:color w:val="auto"/>
                <w:sz w:val="24"/>
                <w:highlight w:val="none"/>
              </w:rPr>
              <w:t xml:space="preserve">、详尽准确、科学合理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针对性强的，得</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职工、病员满意度提升与奖惩机制较为</w:t>
            </w:r>
            <w:r>
              <w:rPr>
                <w:rFonts w:hint="eastAsia" w:ascii="宋体" w:hAnsi="宋体" w:eastAsia="宋体" w:cs="宋体"/>
                <w:bCs/>
                <w:color w:val="auto"/>
                <w:sz w:val="24"/>
                <w:highlight w:val="none"/>
                <w:lang w:val="en-US" w:eastAsia="zh-CN"/>
              </w:rPr>
              <w:t xml:space="preserve">全面科学</w:t>
            </w:r>
            <w:r>
              <w:rPr>
                <w:rFonts w:hint="eastAsia" w:ascii="宋体" w:hAnsi="宋体" w:eastAsia="宋体" w:cs="宋体"/>
                <w:bCs/>
                <w:color w:val="auto"/>
                <w:sz w:val="24"/>
                <w:highlight w:val="none"/>
              </w:rPr>
              <w:t xml:space="preserve">、符合实际、具有实用性的，得</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职工、病员满意度提升与奖惩机制</w:t>
            </w:r>
            <w:r>
              <w:rPr>
                <w:rFonts w:hint="eastAsia" w:ascii="宋体" w:hAnsi="宋体" w:eastAsia="宋体" w:cs="宋体"/>
                <w:bCs/>
                <w:color w:val="auto"/>
                <w:sz w:val="24"/>
                <w:highlight w:val="none"/>
                <w:lang w:val="en-US" w:eastAsia="zh-CN"/>
              </w:rPr>
              <w:t xml:space="preserve">内容简单</w:t>
            </w:r>
            <w:r>
              <w:rPr>
                <w:rFonts w:hint="eastAsia" w:ascii="宋体" w:hAnsi="宋体" w:eastAsia="宋体" w:cs="宋体"/>
                <w:bCs/>
                <w:color w:val="auto"/>
                <w:sz w:val="24"/>
                <w:highlight w:val="none"/>
              </w:rPr>
              <w:t xml:space="preserve">、实用性</w:t>
            </w:r>
            <w:r>
              <w:rPr>
                <w:rFonts w:hint="eastAsia" w:ascii="宋体" w:hAnsi="宋体" w:eastAsia="宋体" w:cs="宋体"/>
                <w:bCs/>
                <w:color w:val="auto"/>
                <w:sz w:val="24"/>
                <w:highlight w:val="none"/>
                <w:lang w:val="en-US" w:eastAsia="zh-CN"/>
              </w:rPr>
              <w:t xml:space="preserve">一般</w:t>
            </w:r>
            <w:r>
              <w:rPr>
                <w:rFonts w:hint="eastAsia" w:ascii="宋体" w:hAnsi="宋体" w:eastAsia="宋体" w:cs="宋体"/>
                <w:bCs/>
                <w:color w:val="auto"/>
                <w:sz w:val="24"/>
                <w:highlight w:val="none"/>
              </w:rPr>
              <w:t xml:space="preserve">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职工、病员满意度提升与奖惩机制空泛、缺乏针对性或可行性</w:t>
            </w:r>
            <w:r>
              <w:rPr>
                <w:rFonts w:hint="eastAsia" w:ascii="宋体" w:hAnsi="宋体" w:eastAsia="宋体" w:cs="宋体"/>
                <w:bCs/>
                <w:color w:val="auto"/>
                <w:sz w:val="24"/>
                <w:highlight w:val="none"/>
                <w:lang w:val="en-US" w:eastAsia="zh-CN"/>
              </w:rPr>
              <w:t xml:space="preserve">不强的</w:t>
            </w:r>
            <w:r>
              <w:rPr>
                <w:rFonts w:hint="eastAsia" w:ascii="宋体" w:hAnsi="宋体" w:eastAsia="宋体" w:cs="宋体"/>
                <w:bCs/>
                <w:color w:val="auto"/>
                <w:sz w:val="24"/>
                <w:highlight w:val="none"/>
              </w:rPr>
              <w:t xml:space="preserve">，得2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未提供相关内容的不得分。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w:t>
            </w:r>
            <w:r/>
          </w:p>
        </w:tc>
      </w:tr>
      <w:tr>
        <w:trPr>
          <w:jc w:val="center"/>
          <w:trHeight w:val="983"/>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食品安全与安全生产保障方案</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评委根据投标人</w:t>
            </w:r>
            <w:r>
              <w:rPr>
                <w:rFonts w:hint="eastAsia" w:ascii="宋体" w:hAnsi="宋体" w:eastAsia="宋体" w:cs="宋体"/>
                <w:b/>
                <w:bCs w:val="0"/>
                <w:color w:val="auto"/>
                <w:sz w:val="24"/>
                <w:highlight w:val="none"/>
              </w:rPr>
              <w:t xml:space="preserve">针对本项目</w:t>
            </w:r>
            <w:r>
              <w:rPr>
                <w:rFonts w:hint="eastAsia" w:ascii="宋体" w:hAnsi="宋体" w:eastAsia="宋体" w:cs="宋体"/>
                <w:b/>
                <w:bCs w:val="0"/>
                <w:color w:val="auto"/>
                <w:sz w:val="24"/>
                <w:highlight w:val="none"/>
                <w:lang w:val="en-US" w:eastAsia="zh-CN"/>
              </w:rPr>
              <w:t xml:space="preserve">提供的</w:t>
            </w:r>
            <w:r>
              <w:rPr>
                <w:rFonts w:hint="eastAsia" w:ascii="宋体" w:hAnsi="宋体" w:eastAsia="宋体" w:cs="宋体"/>
                <w:b/>
                <w:bCs w:val="0"/>
                <w:color w:val="auto"/>
                <w:sz w:val="24"/>
                <w:highlight w:val="none"/>
              </w:rPr>
              <w:t xml:space="preserve">食品安全与安全生产保障方案进行综合</w:t>
            </w:r>
            <w:r>
              <w:rPr>
                <w:rFonts w:hint="eastAsia" w:ascii="宋体" w:hAnsi="宋体" w:eastAsia="宋体" w:cs="宋体"/>
                <w:b/>
                <w:bCs w:val="0"/>
                <w:color w:val="auto"/>
                <w:sz w:val="24"/>
                <w:highlight w:val="none"/>
                <w:lang w:eastAsia="zh-CN"/>
              </w:rPr>
              <w:t xml:space="preserve">评审：</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食品安全与安全生产保障方案</w:t>
            </w:r>
            <w:r>
              <w:rPr>
                <w:rFonts w:hint="eastAsia" w:ascii="宋体" w:hAnsi="宋体" w:eastAsia="宋体" w:cs="宋体"/>
                <w:bCs/>
                <w:color w:val="auto"/>
                <w:sz w:val="24"/>
                <w:highlight w:val="none"/>
                <w:lang w:val="en-US" w:eastAsia="zh-CN"/>
              </w:rPr>
              <w:t xml:space="preserve">全面</w:t>
            </w:r>
            <w:r>
              <w:rPr>
                <w:rFonts w:hint="eastAsia" w:ascii="宋体" w:hAnsi="宋体" w:eastAsia="宋体" w:cs="宋体"/>
                <w:bCs/>
                <w:color w:val="auto"/>
                <w:sz w:val="24"/>
                <w:highlight w:val="none"/>
              </w:rPr>
              <w:t xml:space="preserve">、详尽准确、科学合理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针对性强的，得</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食品安全与安全生产保障方案较为</w:t>
            </w:r>
            <w:r>
              <w:rPr>
                <w:rFonts w:hint="eastAsia" w:ascii="宋体" w:hAnsi="宋体" w:eastAsia="宋体" w:cs="宋体"/>
                <w:bCs/>
                <w:color w:val="auto"/>
                <w:sz w:val="24"/>
                <w:highlight w:val="none"/>
                <w:lang w:val="en-US" w:eastAsia="zh-CN"/>
              </w:rPr>
              <w:t xml:space="preserve">全面科学</w:t>
            </w:r>
            <w:r>
              <w:rPr>
                <w:rFonts w:hint="eastAsia" w:ascii="宋体" w:hAnsi="宋体" w:eastAsia="宋体" w:cs="宋体"/>
                <w:bCs/>
                <w:color w:val="auto"/>
                <w:sz w:val="24"/>
                <w:highlight w:val="none"/>
              </w:rPr>
              <w:t xml:space="preserve">、符合实际、具有实用性的，得</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食品安全与安全生产保障方案</w:t>
            </w:r>
            <w:r>
              <w:rPr>
                <w:rFonts w:hint="eastAsia" w:ascii="宋体" w:hAnsi="宋体" w:eastAsia="宋体" w:cs="宋体"/>
                <w:bCs/>
                <w:color w:val="auto"/>
                <w:sz w:val="24"/>
                <w:highlight w:val="none"/>
                <w:lang w:val="en-US" w:eastAsia="zh-CN"/>
              </w:rPr>
              <w:t xml:space="preserve">内容简单</w:t>
            </w:r>
            <w:r>
              <w:rPr>
                <w:rFonts w:hint="eastAsia" w:ascii="宋体" w:hAnsi="宋体" w:eastAsia="宋体" w:cs="宋体"/>
                <w:bCs/>
                <w:color w:val="auto"/>
                <w:sz w:val="24"/>
                <w:highlight w:val="none"/>
              </w:rPr>
              <w:t xml:space="preserve">、实用性</w:t>
            </w:r>
            <w:r>
              <w:rPr>
                <w:rFonts w:hint="eastAsia" w:ascii="宋体" w:hAnsi="宋体" w:eastAsia="宋体" w:cs="宋体"/>
                <w:bCs/>
                <w:color w:val="auto"/>
                <w:sz w:val="24"/>
                <w:highlight w:val="none"/>
                <w:lang w:val="en-US" w:eastAsia="zh-CN"/>
              </w:rPr>
              <w:t xml:space="preserve">一般</w:t>
            </w:r>
            <w:r>
              <w:rPr>
                <w:rFonts w:hint="eastAsia" w:ascii="宋体" w:hAnsi="宋体" w:eastAsia="宋体" w:cs="宋体"/>
                <w:bCs/>
                <w:color w:val="auto"/>
                <w:sz w:val="24"/>
                <w:highlight w:val="none"/>
              </w:rPr>
              <w:t xml:space="preserve">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食品安全与安全生产保障方案空泛、缺乏针对性或可行性</w:t>
            </w:r>
            <w:r>
              <w:rPr>
                <w:rFonts w:hint="eastAsia" w:ascii="宋体" w:hAnsi="宋体" w:eastAsia="宋体" w:cs="宋体"/>
                <w:bCs/>
                <w:color w:val="auto"/>
                <w:sz w:val="24"/>
                <w:highlight w:val="none"/>
                <w:lang w:val="en-US" w:eastAsia="zh-CN"/>
              </w:rPr>
              <w:t xml:space="preserve">不强的</w:t>
            </w:r>
            <w:r>
              <w:rPr>
                <w:rFonts w:hint="eastAsia" w:ascii="宋体" w:hAnsi="宋体" w:eastAsia="宋体" w:cs="宋体"/>
                <w:bCs/>
                <w:color w:val="auto"/>
                <w:sz w:val="24"/>
                <w:highlight w:val="none"/>
              </w:rPr>
              <w:t xml:space="preserve">，得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未提供相关内容的不得分。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w:t>
            </w:r>
            <w:r/>
          </w:p>
        </w:tc>
      </w:tr>
      <w:tr>
        <w:trPr>
          <w:jc w:val="center"/>
          <w:trHeight w:val="983"/>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应急预案</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 xml:space="preserve">评委根据投标人针对本项目指定的</w:t>
            </w:r>
            <w:r>
              <w:rPr>
                <w:rFonts w:hint="eastAsia" w:ascii="宋体" w:hAnsi="宋体" w:eastAsia="宋体" w:cs="宋体"/>
                <w:b/>
                <w:bCs w:val="0"/>
                <w:color w:val="auto"/>
                <w:sz w:val="24"/>
                <w:highlight w:val="none"/>
              </w:rPr>
              <w:t xml:space="preserve">应急预案</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包括不限于突发停电、停水、停气事件、食物中毒、突发类员工安全事故、环境保护</w:t>
            </w:r>
            <w:r>
              <w:rPr>
                <w:rFonts w:hint="eastAsia" w:ascii="宋体" w:hAnsi="宋体" w:eastAsia="宋体" w:cs="宋体"/>
                <w:b/>
                <w:bCs w:val="0"/>
                <w:color w:val="auto"/>
                <w:sz w:val="24"/>
                <w:highlight w:val="none"/>
                <w:lang w:val="en-US" w:eastAsia="zh-CN"/>
              </w:rPr>
              <w:t xml:space="preserve">等</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从</w:t>
            </w:r>
            <w:r>
              <w:rPr>
                <w:rFonts w:hint="eastAsia" w:ascii="宋体" w:hAnsi="宋体" w:eastAsia="宋体" w:cs="宋体"/>
                <w:b/>
                <w:bCs w:val="0"/>
                <w:color w:val="auto"/>
                <w:sz w:val="24"/>
                <w:highlight w:val="none"/>
              </w:rPr>
              <w:t xml:space="preserve">全面性、</w:t>
            </w:r>
            <w:r>
              <w:rPr>
                <w:rFonts w:hint="eastAsia" w:ascii="宋体" w:hAnsi="宋体" w:eastAsia="宋体" w:cs="宋体"/>
                <w:b/>
                <w:bCs w:val="0"/>
                <w:color w:val="auto"/>
                <w:sz w:val="24"/>
                <w:highlight w:val="none"/>
                <w:lang w:eastAsia="zh-CN"/>
              </w:rPr>
              <w:t xml:space="preserve">合理性、可操作性</w:t>
            </w:r>
            <w:r>
              <w:rPr>
                <w:rFonts w:hint="eastAsia" w:ascii="宋体" w:hAnsi="宋体" w:eastAsia="宋体" w:cs="宋体"/>
                <w:b/>
                <w:bCs w:val="0"/>
                <w:color w:val="auto"/>
                <w:sz w:val="24"/>
                <w:highlight w:val="none"/>
              </w:rPr>
              <w:t xml:space="preserve">等方面进行综合</w:t>
            </w:r>
            <w:r>
              <w:rPr>
                <w:rFonts w:hint="eastAsia" w:ascii="宋体" w:hAnsi="宋体" w:eastAsia="宋体" w:cs="宋体"/>
                <w:b/>
                <w:bCs w:val="0"/>
                <w:color w:val="auto"/>
                <w:sz w:val="24"/>
                <w:highlight w:val="none"/>
                <w:lang w:eastAsia="zh-CN"/>
              </w:rPr>
              <w:t xml:space="preserve">评审。</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应急预案全面覆盖停电、停水、停气、食物中毒、人员安全事故、环境突发事件等全部评审场景，无任何缺项。深度结合本项目现场实际、作业特点、风险隐患量身定制，风险分析透彻、应急组织机构完整、岗位职责清晰、预警预防机制完善、应急处置流程细化到步骤、应急物资与人员保障充分、联动机制、现场救援、善后处置、事故复盘等内容齐全规范。方案完全贴合本项目实际，可直接落地执行，完全满足项目应急管理要求，得7分；</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应急预案内容较为全面、科学合理、贴合实际、实用性较强。覆盖招标文件全部核心应急场景，仅部分细分环节内容简化。预案整体结构完整、逻辑清晰、处置流程合理，适配本项目运营实际情况，具备完善的应急处置思路、基础保障措施及现场处置方案，能够有效应对项目各类常见突发情况。整体可行性较好，仅在细节细化、专项针对性、科学化深度上存在少量不足，得5分；</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应急预案基本齐全、针对性一般、整体可行、细节欠缺。基本覆盖本项目各类应急场景，但内容较为常规、专项适配性不足，未充分结合项目实际风险特点。应急流程基本完整但不够细化，人员职责、处置步骤、物资保障内容较为笼统，方案整体可以使用，但落地实操性一般，应对复杂突发事故的处置能力有限，得3分；</w:t>
            </w:r>
            <w:r/>
          </w:p>
          <w:p>
            <w:pPr>
              <w:jc w:val="left"/>
              <w:spacing w:line="50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应急预案内容空泛、模板化严重、缺乏针对性、可行性弱。仅套用通用预案模板，未结合本项目实际情况编制，部分应急场景缺失。应急处置内容简单粗糙、流程模糊、职责不清、保障措施缺失或流于形式，无实质性可落地内容，无法有效指导现场应急处置，整体质量较差，得1分；</w:t>
            </w:r>
            <w:r/>
          </w:p>
          <w:p>
            <w:pPr>
              <w:jc w:val="left"/>
              <w:spacing w:line="50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未提供相关内容的不得分。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w:t>
            </w:r>
            <w:r/>
          </w:p>
        </w:tc>
      </w:tr>
      <w:tr>
        <w:trPr>
          <w:jc w:val="center"/>
          <w:trHeight w:val="1072"/>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增值服务</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评委根据投标人</w:t>
            </w:r>
            <w:r>
              <w:rPr>
                <w:rFonts w:hint="eastAsia" w:ascii="宋体" w:hAnsi="宋体" w:eastAsia="宋体" w:cs="宋体"/>
                <w:b/>
                <w:bCs w:val="0"/>
                <w:color w:val="auto"/>
                <w:sz w:val="24"/>
                <w:highlight w:val="none"/>
              </w:rPr>
              <w:t xml:space="preserve">针对本项目制定特色创新服务方案及附加服务</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根据方案的可行性、贴合实际需求情况进行综合</w:t>
            </w:r>
            <w:r>
              <w:rPr>
                <w:rFonts w:hint="eastAsia" w:ascii="宋体" w:hAnsi="宋体" w:eastAsia="宋体" w:cs="宋体"/>
                <w:b/>
                <w:bCs w:val="0"/>
                <w:color w:val="auto"/>
                <w:sz w:val="24"/>
                <w:highlight w:val="none"/>
                <w:lang w:eastAsia="zh-CN"/>
              </w:rPr>
              <w:t xml:space="preserve">评审</w:t>
            </w:r>
            <w:r>
              <w:rPr>
                <w:rFonts w:hint="eastAsia" w:ascii="宋体" w:hAnsi="宋体" w:eastAsia="宋体" w:cs="宋体"/>
                <w:b/>
                <w:bCs w:val="0"/>
                <w:color w:val="auto"/>
                <w:sz w:val="24"/>
                <w:highlight w:val="none"/>
              </w:rPr>
              <w:t xml:space="preserve">。</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增值服务内容具体、有明确的兑现承诺和保障措施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可行性强、与本项目需求契合度高</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val="en-US" w:eastAsia="zh-CN"/>
              </w:rPr>
              <w:t xml:space="preserve">分；</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增值服务内容较具体，</w:t>
            </w:r>
            <w:r>
              <w:rPr>
                <w:rFonts w:hint="eastAsia" w:ascii="宋体" w:hAnsi="宋体" w:eastAsia="宋体" w:cs="宋体"/>
                <w:bCs/>
                <w:color w:val="auto"/>
                <w:sz w:val="24"/>
                <w:highlight w:val="none"/>
                <w:lang w:val="en-US" w:eastAsia="zh-CN"/>
              </w:rPr>
              <w:t xml:space="preserve">措施较清晰、</w:t>
            </w:r>
            <w:r>
              <w:rPr>
                <w:rFonts w:hint="eastAsia" w:ascii="宋体" w:hAnsi="宋体" w:eastAsia="宋体" w:cs="宋体"/>
                <w:bCs/>
                <w:color w:val="auto"/>
                <w:sz w:val="24"/>
                <w:highlight w:val="none"/>
              </w:rPr>
              <w:t xml:space="preserve">具有一定的可行性</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但与项目需求的契合度一般</w:t>
            </w:r>
            <w:r>
              <w:rPr>
                <w:rFonts w:hint="eastAsia" w:ascii="宋体" w:hAnsi="宋体" w:eastAsia="宋体" w:cs="宋体"/>
                <w:bCs/>
                <w:color w:val="auto"/>
                <w:sz w:val="24"/>
                <w:highlight w:val="none"/>
                <w:lang w:val="en-US" w:eastAsia="zh-CN"/>
              </w:rPr>
              <w:t xml:space="preserve">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分；</w:t>
            </w:r>
            <w:r/>
          </w:p>
          <w:p>
            <w:pPr>
              <w:jc w:val="left"/>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增值服务内容空泛、缺乏针对性或可行性</w:t>
            </w:r>
            <w:r>
              <w:rPr>
                <w:rFonts w:hint="eastAsia" w:ascii="宋体" w:hAnsi="宋体" w:eastAsia="宋体" w:cs="宋体"/>
                <w:bCs/>
                <w:color w:val="auto"/>
                <w:sz w:val="24"/>
                <w:highlight w:val="none"/>
                <w:lang w:val="en-US" w:eastAsia="zh-CN"/>
              </w:rPr>
              <w:t xml:space="preserve">不强、</w:t>
            </w:r>
            <w:r>
              <w:rPr>
                <w:rFonts w:hint="eastAsia" w:ascii="宋体" w:hAnsi="宋体" w:eastAsia="宋体" w:cs="宋体"/>
                <w:bCs/>
                <w:color w:val="auto"/>
                <w:sz w:val="24"/>
                <w:highlight w:val="none"/>
              </w:rPr>
              <w:t xml:space="preserve">实际价值有限</w:t>
            </w:r>
            <w:r>
              <w:rPr>
                <w:rFonts w:hint="eastAsia" w:ascii="宋体" w:hAnsi="宋体" w:eastAsia="宋体" w:cs="宋体"/>
                <w:bCs/>
                <w:color w:val="auto"/>
                <w:sz w:val="24"/>
                <w:highlight w:val="none"/>
                <w:lang w:val="en-US" w:eastAsia="zh-CN"/>
              </w:rPr>
              <w:t xml:space="preserve">的，</w:t>
            </w:r>
            <w:r>
              <w:rPr>
                <w:rFonts w:hint="eastAsia" w:ascii="宋体" w:hAnsi="宋体" w:eastAsia="宋体" w:cs="宋体"/>
                <w:bCs/>
                <w:color w:val="auto"/>
                <w:sz w:val="24"/>
                <w:highlight w:val="none"/>
              </w:rPr>
              <w:t xml:space="preserve">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jc w:val="left"/>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未提供相关内容的不得分。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w:t>
            </w:r>
            <w:r/>
          </w:p>
        </w:tc>
      </w:tr>
      <w:tr>
        <w:trPr>
          <w:jc w:val="center"/>
          <w:trHeight w:val="626"/>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商务分</w:t>
            </w:r>
            <w:r/>
          </w:p>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客观分</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27</w:t>
            </w:r>
            <w:r/>
          </w:p>
        </w:tc>
      </w:tr>
      <w:tr>
        <w:trPr>
          <w:jc w:val="center"/>
          <w:trHeight w:val="90"/>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体系认证</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投标人具备相关认证情况：</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（1）具有有效的质量管理体系认证；</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（2）具有有效的食品安全管理体系认证；</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（3）具有有效的职业健康安全管理体系认证；</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（4）具有有效的环境管理体系认证；</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（5）具有有效的HACCP（危害分析和关键控制点）认证。</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以上五项，每有一个得1分，最高得5分。</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注：电子投标文件中提供</w:t>
            </w:r>
            <w:r>
              <w:rPr>
                <w:rFonts w:hint="eastAsia" w:ascii="宋体" w:hAnsi="宋体" w:cs="宋体"/>
                <w:bCs/>
                <w:color w:val="auto"/>
                <w:sz w:val="24"/>
                <w:highlight w:val="none"/>
                <w:lang w:val="en-US" w:eastAsia="zh-CN"/>
              </w:rPr>
              <w:t xml:space="preserve">有效</w:t>
            </w:r>
            <w:r>
              <w:rPr>
                <w:rFonts w:hint="eastAsia" w:ascii="宋体" w:hAnsi="宋体" w:eastAsia="宋体" w:cs="宋体"/>
                <w:bCs/>
                <w:color w:val="auto"/>
                <w:sz w:val="24"/>
                <w:highlight w:val="none"/>
                <w:lang w:val="en-US" w:eastAsia="zh-CN"/>
              </w:rPr>
              <w:t xml:space="preserve">认证证书</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lang w:val="en-US" w:eastAsia="zh-CN"/>
              </w:rPr>
              <w:t xml:space="preserve">件或国家认监委官网的认证截图并加盖投标人电子公章，认证</w:t>
            </w:r>
            <w:r>
              <w:rPr>
                <w:rFonts w:hint="eastAsia" w:ascii="宋体" w:hAnsi="宋体" w:cs="宋体"/>
                <w:bCs/>
                <w:color w:val="auto"/>
                <w:sz w:val="24"/>
                <w:highlight w:val="none"/>
                <w:lang w:val="en-US" w:eastAsia="zh-CN"/>
              </w:rPr>
              <w:t xml:space="preserve">证书</w:t>
            </w:r>
            <w:r>
              <w:rPr>
                <w:rFonts w:hint="eastAsia" w:ascii="宋体" w:hAnsi="宋体" w:eastAsia="宋体" w:cs="宋体"/>
                <w:bCs/>
                <w:color w:val="auto"/>
                <w:sz w:val="24"/>
                <w:highlight w:val="none"/>
                <w:lang w:val="en-US" w:eastAsia="zh-CN"/>
              </w:rPr>
              <w:t xml:space="preserve">须在有效期内</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未按要求提供不得分。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p>
        </w:tc>
      </w:tr>
      <w:tr>
        <w:trPr>
          <w:jc w:val="center"/>
          <w:trHeight w:val="723"/>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投标人自2023年1月1日至本项目招标公告发布之日止具有</w:t>
            </w:r>
            <w:r>
              <w:rPr>
                <w:rFonts w:hint="eastAsia" w:ascii="宋体" w:hAnsi="宋体" w:cs="宋体"/>
                <w:bCs/>
                <w:color w:val="auto"/>
                <w:sz w:val="24"/>
                <w:highlight w:val="none"/>
                <w:lang w:val="en-US" w:eastAsia="zh-CN"/>
              </w:rPr>
              <w:t xml:space="preserve">企业</w:t>
            </w:r>
            <w:r>
              <w:rPr>
                <w:rFonts w:hint="eastAsia" w:ascii="宋体" w:hAnsi="宋体" w:eastAsia="宋体" w:cs="宋体"/>
                <w:bCs/>
                <w:color w:val="auto"/>
                <w:sz w:val="24"/>
                <w:highlight w:val="none"/>
                <w:lang w:val="en-US" w:eastAsia="zh-CN"/>
              </w:rPr>
              <w:t xml:space="preserve">或机关或事业单位类似项目业绩的，每有一个得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分，本项最高</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val="en-US" w:eastAsia="zh-CN"/>
              </w:rPr>
              <w:t xml:space="preserve">分。</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注：电子投标文件中提供中标通知书和有效业绩完整合同扫描件并加盖投标人电子公章，未按要求提供不得分。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w:t>
            </w:r>
            <w:r/>
          </w:p>
        </w:tc>
      </w:tr>
      <w:tr>
        <w:trPr>
          <w:jc w:val="center"/>
          <w:trHeight w:val="1158"/>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项目</w:t>
            </w:r>
            <w:r/>
          </w:p>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负责人</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投标人拟派本项目负责人：</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（1）持有食品安全管理员培训证书的得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jc w:val="left"/>
              <w:spacing w:line="500" w:lineRule="exact"/>
              <w:rPr>
                <w:rFonts w:hint="default"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（2）持有团餐管理师证书的得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）持有</w:t>
            </w:r>
            <w:r>
              <w:rPr>
                <w:rFonts w:hint="eastAsia" w:ascii="宋体" w:hAnsi="宋体" w:cs="宋体"/>
                <w:bCs/>
                <w:color w:val="auto"/>
                <w:sz w:val="24"/>
                <w:highlight w:val="none"/>
                <w:lang w:val="en-US" w:eastAsia="zh-CN"/>
              </w:rPr>
              <w:t xml:space="preserve">高级职业经理人证书的得2分</w:t>
            </w:r>
            <w:r>
              <w:rPr>
                <w:rFonts w:hint="eastAsia" w:ascii="宋体" w:hAnsi="宋体" w:eastAsia="宋体" w:cs="宋体"/>
                <w:bCs/>
                <w:color w:val="auto"/>
                <w:sz w:val="24"/>
                <w:highlight w:val="none"/>
                <w:lang w:val="en-US" w:eastAsia="zh-CN"/>
              </w:rPr>
              <w:t xml:space="preserve">。</w:t>
            </w:r>
            <w:r/>
          </w:p>
          <w:p>
            <w:pPr>
              <w:jc w:val="left"/>
              <w:spacing w:line="50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注：电子投标文件中提供项目负责人相关证书扫描件及投标人在开标截止日前半年内任意一个月为其缴纳的社保证明材料扫描件并加盖投标人电子公章，未按要求提供不得分。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p>
        </w:tc>
      </w:tr>
      <w:tr>
        <w:trPr>
          <w:jc w:val="center"/>
          <w:trHeight w:val="248"/>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厨师长</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投标人拟派本项目厨师长：</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（1）持有食品安全管理师证书的得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jc w:val="left"/>
              <w:spacing w:line="500" w:lineRule="exact"/>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（2）持有高级中式烹调师证书的得2分，持有中级中式烹调师证书的得1分</w:t>
            </w:r>
            <w:r>
              <w:rPr>
                <w:rFonts w:hint="eastAsia" w:ascii="宋体" w:hAnsi="宋体" w:cs="宋体"/>
                <w:bCs/>
                <w:color w:val="auto"/>
                <w:sz w:val="24"/>
                <w:highlight w:val="none"/>
                <w:lang w:val="en-US" w:eastAsia="zh-CN"/>
              </w:rPr>
              <w:t xml:space="preserve">；</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）持有公共营养师或营养配餐员证书的得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注：电子投标文件中提供厨师长相关证书扫描件及投标人在开标截止日前半年内任意一个月为其缴纳的社保证明材料扫描件并加盖投标人电子公章，未按要求提供不得分。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p>
        </w:tc>
      </w:tr>
      <w:tr>
        <w:trPr>
          <w:jc w:val="center"/>
          <w:trHeight w:val="1158"/>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厨师团队</w:t>
            </w:r>
            <w:r/>
          </w:p>
        </w:tc>
        <w:tc>
          <w:tcPr>
            <w:tcBorders>
              <w:top w:val="single" w:color="auto" w:sz="4" w:space="0"/>
              <w:left w:val="single" w:color="auto" w:sz="4" w:space="0"/>
              <w:bottom w:val="single" w:color="auto" w:sz="4" w:space="0"/>
              <w:right w:val="single" w:color="auto" w:sz="4" w:space="0"/>
            </w:tcBorders>
            <w:tcW w:w="6314" w:type="dxa"/>
            <w:vAlign w:val="center"/>
            <w:textDirection w:val="lrTb"/>
            <w:noWrap w:val="false"/>
          </w:tcPr>
          <w:p>
            <w:pPr>
              <w:jc w:val="left"/>
              <w:spacing w:line="50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投标人拟派本项目的厨师团队</w:t>
            </w:r>
            <w:r>
              <w:rPr>
                <w:rFonts w:hint="eastAsia" w:ascii="宋体" w:hAnsi="宋体" w:cs="宋体"/>
                <w:bCs/>
                <w:color w:val="auto"/>
                <w:sz w:val="24"/>
                <w:highlight w:val="none"/>
                <w:lang w:val="en-US" w:eastAsia="zh-CN"/>
              </w:rPr>
              <w:t xml:space="preserve">（除项目负责人及厨师长以外）</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br/>
            </w:r>
            <w:r>
              <w:rPr>
                <w:rFonts w:hint="eastAsia" w:ascii="宋体" w:hAnsi="宋体" w:eastAsia="宋体" w:cs="宋体"/>
                <w:bCs/>
                <w:color w:val="auto"/>
                <w:sz w:val="24"/>
                <w:highlight w:val="none"/>
                <w:lang w:val="en-US" w:eastAsia="zh-CN"/>
              </w:rPr>
              <w:t xml:space="preserve">（1）团队人员中持有有效的高级中式烹调师证书的</w:t>
            </w:r>
            <w:r>
              <w:rPr>
                <w:rFonts w:hint="eastAsia" w:ascii="宋体" w:hAnsi="宋体" w:cs="宋体"/>
                <w:bCs/>
                <w:color w:val="auto"/>
                <w:sz w:val="24"/>
                <w:highlight w:val="none"/>
                <w:lang w:val="en-US" w:eastAsia="zh-CN"/>
              </w:rPr>
              <w:t xml:space="preserve">每有一人</w:t>
            </w:r>
            <w:r>
              <w:rPr>
                <w:rFonts w:hint="eastAsia" w:ascii="宋体" w:hAnsi="宋体" w:eastAsia="宋体" w:cs="宋体"/>
                <w:bCs/>
                <w:color w:val="auto"/>
                <w:sz w:val="24"/>
                <w:highlight w:val="none"/>
                <w:lang w:val="en-US" w:eastAsia="zh-CN"/>
              </w:rPr>
              <w:t xml:space="preserve">得</w:t>
            </w:r>
            <w:r>
              <w:rPr>
                <w:rFonts w:hint="eastAsia" w:ascii="宋体" w:hAnsi="宋体" w:cs="宋体"/>
                <w:bCs/>
                <w:color w:val="auto"/>
                <w:sz w:val="24"/>
                <w:highlight w:val="none"/>
                <w:lang w:val="en-US" w:eastAsia="zh-CN"/>
              </w:rPr>
              <w:t xml:space="preserve">1.5</w:t>
            </w:r>
            <w:r>
              <w:rPr>
                <w:rFonts w:hint="eastAsia" w:ascii="宋体" w:hAnsi="宋体" w:eastAsia="宋体" w:cs="宋体"/>
                <w:bCs/>
                <w:color w:val="auto"/>
                <w:sz w:val="24"/>
                <w:highlight w:val="none"/>
                <w:lang w:val="en-US" w:eastAsia="zh-CN"/>
              </w:rPr>
              <w:t xml:space="preserve">分，持有中级中式烹调师证书的</w:t>
            </w:r>
            <w:r>
              <w:rPr>
                <w:rFonts w:hint="eastAsia" w:ascii="宋体" w:hAnsi="宋体" w:cs="宋体"/>
                <w:bCs/>
                <w:color w:val="auto"/>
                <w:sz w:val="24"/>
                <w:highlight w:val="none"/>
                <w:lang w:val="en-US" w:eastAsia="zh-CN"/>
              </w:rPr>
              <w:t xml:space="preserve">每有一人</w:t>
            </w:r>
            <w:r>
              <w:rPr>
                <w:rFonts w:hint="eastAsia" w:ascii="宋体" w:hAnsi="宋体" w:eastAsia="宋体" w:cs="宋体"/>
                <w:bCs/>
                <w:color w:val="auto"/>
                <w:sz w:val="24"/>
                <w:highlight w:val="none"/>
                <w:lang w:val="en-US" w:eastAsia="zh-CN"/>
              </w:rPr>
              <w:t xml:space="preserve">得</w:t>
            </w:r>
            <w:r>
              <w:rPr>
                <w:rFonts w:hint="eastAsia" w:ascii="宋体" w:hAnsi="宋体" w:cs="宋体"/>
                <w:bCs/>
                <w:color w:val="auto"/>
                <w:sz w:val="24"/>
                <w:highlight w:val="none"/>
                <w:lang w:val="en-US" w:eastAsia="zh-CN"/>
              </w:rPr>
              <w:t xml:space="preserve">0.5</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限评两人，最高得3分。</w:t>
            </w:r>
            <w:r/>
          </w:p>
          <w:p>
            <w:pPr>
              <w:jc w:val="left"/>
              <w:spacing w:line="50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（2）本项目拟派的点心师持有有效的高级中式面点师证书的</w:t>
            </w:r>
            <w:r>
              <w:rPr>
                <w:rFonts w:hint="eastAsia" w:ascii="宋体" w:hAnsi="宋体" w:cs="宋体"/>
                <w:bCs/>
                <w:color w:val="auto"/>
                <w:sz w:val="24"/>
                <w:highlight w:val="none"/>
                <w:lang w:val="en-US" w:eastAsia="zh-CN"/>
              </w:rPr>
              <w:t xml:space="preserve">每有一人</w:t>
            </w:r>
            <w:r>
              <w:rPr>
                <w:rFonts w:hint="eastAsia" w:ascii="宋体" w:hAnsi="宋体" w:eastAsia="宋体" w:cs="宋体"/>
                <w:bCs/>
                <w:color w:val="auto"/>
                <w:sz w:val="24"/>
                <w:highlight w:val="none"/>
                <w:lang w:val="en-US" w:eastAsia="zh-CN"/>
              </w:rPr>
              <w:t xml:space="preserve">得</w:t>
            </w:r>
            <w:r>
              <w:rPr>
                <w:rFonts w:hint="eastAsia" w:ascii="宋体" w:hAnsi="宋体" w:cs="宋体"/>
                <w:bCs/>
                <w:color w:val="auto"/>
                <w:sz w:val="24"/>
                <w:highlight w:val="none"/>
                <w:lang w:val="en-US" w:eastAsia="zh-CN"/>
              </w:rPr>
              <w:t xml:space="preserve">1.5</w:t>
            </w:r>
            <w:r>
              <w:rPr>
                <w:rFonts w:hint="eastAsia" w:ascii="宋体" w:hAnsi="宋体" w:eastAsia="宋体" w:cs="宋体"/>
                <w:bCs/>
                <w:color w:val="auto"/>
                <w:sz w:val="24"/>
                <w:highlight w:val="none"/>
                <w:lang w:val="en-US" w:eastAsia="zh-CN"/>
              </w:rPr>
              <w:t xml:space="preserve">分，持有中级中式面点师证书的</w:t>
            </w:r>
            <w:r>
              <w:rPr>
                <w:rFonts w:hint="eastAsia" w:ascii="宋体" w:hAnsi="宋体" w:cs="宋体"/>
                <w:bCs/>
                <w:color w:val="auto"/>
                <w:sz w:val="24"/>
                <w:highlight w:val="none"/>
                <w:lang w:val="en-US" w:eastAsia="zh-CN"/>
              </w:rPr>
              <w:t xml:space="preserve">每有一人</w:t>
            </w:r>
            <w:r>
              <w:rPr>
                <w:rFonts w:hint="eastAsia" w:ascii="宋体" w:hAnsi="宋体" w:eastAsia="宋体" w:cs="宋体"/>
                <w:bCs/>
                <w:color w:val="auto"/>
                <w:sz w:val="24"/>
                <w:highlight w:val="none"/>
                <w:lang w:val="en-US" w:eastAsia="zh-CN"/>
              </w:rPr>
              <w:t xml:space="preserve">得</w:t>
            </w:r>
            <w:r>
              <w:rPr>
                <w:rFonts w:hint="eastAsia" w:ascii="宋体" w:hAnsi="宋体" w:cs="宋体"/>
                <w:bCs/>
                <w:color w:val="auto"/>
                <w:sz w:val="24"/>
                <w:highlight w:val="none"/>
                <w:lang w:val="en-US" w:eastAsia="zh-CN"/>
              </w:rPr>
              <w:t xml:space="preserve">0.5</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限评两人，最高得3分</w:t>
            </w:r>
            <w:r>
              <w:rPr>
                <w:rFonts w:hint="eastAsia" w:ascii="宋体" w:hAnsi="宋体" w:eastAsia="宋体" w:cs="宋体"/>
                <w:bCs/>
                <w:color w:val="auto"/>
                <w:sz w:val="24"/>
                <w:highlight w:val="none"/>
                <w:lang w:val="en-US" w:eastAsia="zh-CN"/>
              </w:rPr>
              <w:t xml:space="preserve">。</w:t>
            </w:r>
            <w:r/>
          </w:p>
          <w:p>
            <w:pPr>
              <w:jc w:val="left"/>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注：电子投标文件中提供</w:t>
            </w:r>
            <w:r>
              <w:rPr>
                <w:rFonts w:hint="eastAsia" w:ascii="宋体" w:hAnsi="宋体" w:cs="宋体"/>
                <w:bCs/>
                <w:color w:val="auto"/>
                <w:sz w:val="24"/>
                <w:highlight w:val="none"/>
                <w:lang w:val="en-US" w:eastAsia="zh-CN"/>
              </w:rPr>
              <w:t xml:space="preserve">上述人员</w:t>
            </w:r>
            <w:r>
              <w:rPr>
                <w:rFonts w:hint="eastAsia" w:ascii="宋体" w:hAnsi="宋体" w:eastAsia="宋体" w:cs="宋体"/>
                <w:bCs/>
                <w:color w:val="auto"/>
                <w:sz w:val="24"/>
                <w:highlight w:val="none"/>
                <w:lang w:val="en-US" w:eastAsia="zh-CN"/>
              </w:rPr>
              <w:t xml:space="preserve">相关证书扫描件及投标人在开标截止日前半年内任意一个月为其缴纳的社保证明材料扫描件并加盖投标人电子公章，</w:t>
            </w:r>
            <w:r>
              <w:rPr>
                <w:rFonts w:hint="eastAsia" w:ascii="宋体" w:hAnsi="宋体" w:cs="宋体"/>
                <w:bCs/>
                <w:color w:val="auto"/>
                <w:sz w:val="24"/>
                <w:highlight w:val="none"/>
                <w:lang w:val="en-US" w:eastAsia="zh-CN"/>
              </w:rPr>
              <w:t xml:space="preserve">同一人员不重复得分，</w:t>
            </w:r>
            <w:r>
              <w:rPr>
                <w:rFonts w:hint="eastAsia" w:ascii="宋体" w:hAnsi="宋体" w:eastAsia="宋体" w:cs="宋体"/>
                <w:bCs/>
                <w:color w:val="auto"/>
                <w:sz w:val="24"/>
                <w:highlight w:val="none"/>
                <w:lang w:val="en-US" w:eastAsia="zh-CN"/>
              </w:rPr>
              <w:t xml:space="preserve">未按要求提供不得分。</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w:t>
            </w:r>
            <w:r/>
          </w:p>
        </w:tc>
      </w:tr>
    </w:tbl>
    <w:p>
      <w:pPr>
        <w:ind w:firstLine="482"/>
        <w:jc w:val="left"/>
        <w:spacing w:line="400" w:lineRule="atLeast"/>
        <w:rPr>
          <w:rFonts w:hint="eastAsia" w:ascii="宋体" w:hAnsi="宋体" w:cs="宋体"/>
          <w:bCs/>
          <w:color w:val="auto"/>
          <w:sz w:val="24"/>
          <w:highlight w:val="none"/>
        </w:rPr>
      </w:pPr>
      <w:r>
        <w:rPr>
          <w:rFonts w:hint="eastAsia" w:ascii="宋体" w:hAnsi="宋体" w:cs="宋体"/>
          <w:b/>
          <w:bCs w:val="0"/>
          <w:color w:val="auto"/>
          <w:sz w:val="24"/>
          <w:highlight w:val="none"/>
        </w:rPr>
        <w:t xml:space="preserve">注：</w:t>
      </w:r>
      <w:r>
        <w:rPr>
          <w:rFonts w:hint="eastAsia" w:ascii="宋体" w:hAnsi="宋体" w:cs="宋体"/>
          <w:bCs/>
          <w:color w:val="auto"/>
          <w:sz w:val="24"/>
          <w:highlight w:val="none"/>
        </w:rPr>
        <w:t xml:space="preserve">1.评分细则中要求提供的证明文件及资料等在投标文件中提供扫描件，并加盖公章。</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2．评审时，未能按以上要求提供相应证明（扫描件）的，不作为评审依据，不得分。</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3.为便于评审，请投标人按系统招标文件模版样式，结合招标文件项目需求和评分标准，逐条对应编制投标文件。</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2" w:name="_Toc28307"/>
      <w:r>
        <w:rPr>
          <w:rFonts w:ascii="宋体" w:hAnsi="宋体"/>
          <w:b/>
          <w:color w:val="auto"/>
          <w:sz w:val="36"/>
          <w:szCs w:val="36"/>
          <w:highlight w:val="none"/>
        </w:rPr>
        <w:t xml:space="preserve">第五章   采购需求</w:t>
      </w:r>
      <w:bookmarkEnd w:id="822"/>
      <w:r/>
      <w:r/>
    </w:p>
    <w:p>
      <w:pPr>
        <w:ind w:firstLine="490"/>
        <w:spacing w:line="360" w:lineRule="auto"/>
        <w:rPr>
          <w:rFonts w:hint="eastAsia" w:ascii="宋体" w:hAnsi="宋体" w:eastAsia="宋体" w:cs="宋体"/>
          <w:b/>
          <w:bCs/>
          <w:color w:val="auto"/>
          <w:spacing w:val="2"/>
          <w:sz w:val="24"/>
          <w:highlight w:val="none"/>
          <w:lang w:val="en-US" w:eastAsia="zh-CN"/>
        </w:rPr>
      </w:pPr>
      <w:r>
        <w:rPr>
          <w:rFonts w:hint="eastAsia" w:ascii="宋体" w:hAnsi="宋体" w:eastAsia="宋体" w:cs="宋体"/>
          <w:b/>
          <w:bCs/>
          <w:color w:val="auto"/>
          <w:spacing w:val="2"/>
          <w:sz w:val="24"/>
          <w:highlight w:val="none"/>
        </w:rPr>
        <w:t xml:space="preserve">一、项目</w:t>
      </w:r>
      <w:r>
        <w:rPr>
          <w:rFonts w:hint="eastAsia" w:ascii="宋体" w:hAnsi="宋体" w:cs="宋体"/>
          <w:b/>
          <w:bCs/>
          <w:color w:val="auto"/>
          <w:spacing w:val="2"/>
          <w:sz w:val="24"/>
          <w:highlight w:val="none"/>
          <w:lang w:val="en-US" w:eastAsia="zh-CN"/>
        </w:rPr>
        <w:t xml:space="preserve">背景</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常州市第二人民医院暨南京医科大学第三附属医院，自1937年建院以来，现已发展成为一所集医疗、教学、科研、预防、急救为一体的现代化三级甲等综合性医院。2022年7月成为南京医科大学常州医学中心主体单位，2024年7月正式挂牌成为南京医科大学第三附属医院。</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医院现有阳湖、延陵两个院区，核定床位2500张。2025年全院门急诊257.74万人次，住</w:t>
      </w:r>
      <w:r>
        <w:rPr>
          <w:rFonts w:hint="eastAsia" w:ascii="宋体" w:hAnsi="宋体" w:cs="宋体"/>
          <w:bCs/>
          <w:color w:val="auto"/>
          <w:sz w:val="24"/>
          <w:highlight w:val="none"/>
        </w:rPr>
        <w:t xml:space="preserve">院12.82万人，完成手术77601例次,四级手术33513例次。在岗职工总数3316，高级职称1155，博士182，硕士822。作为常州市卫生系统首家具有独立招生资格的“国家级博士后科研工作站”，五年累计进站74人、出站33人，获得中国博士后资助项目26项，江苏省(卓越)博士后项目20 项。现有博士生培养点14个，博士生、硕士生导师149人。拥有江苏省333高层次培养对象25名，省“双创博士”5名，江苏省青年医学人才9名，江苏省六大高峰人才6名,常州市突出贡献人才专家15人,常州市卫健委高层次人才56人。</w:t>
      </w:r>
      <w:r/>
    </w:p>
    <w:p>
      <w:pPr>
        <w:ind w:firstLine="480"/>
        <w:jc w:val="left"/>
        <w:spacing w:line="360" w:lineRule="auto"/>
        <w:widowControl/>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阳湖院区</w:t>
      </w:r>
      <w:r>
        <w:rPr>
          <w:rFonts w:hint="eastAsia" w:ascii="宋体" w:hAnsi="宋体" w:cs="宋体"/>
          <w:bCs/>
          <w:color w:val="auto"/>
          <w:sz w:val="24"/>
          <w:highlight w:val="none"/>
        </w:rPr>
        <w:t xml:space="preserve">预计</w:t>
      </w:r>
      <w:r>
        <w:rPr>
          <w:rFonts w:hint="eastAsia" w:ascii="宋体" w:hAnsi="宋体" w:cs="宋体"/>
          <w:bCs/>
          <w:color w:val="auto"/>
          <w:sz w:val="24"/>
          <w:highlight w:val="none"/>
          <w:lang w:val="en-US" w:eastAsia="zh-CN"/>
        </w:rPr>
        <w:t xml:space="preserve">日均</w:t>
      </w:r>
      <w:r>
        <w:rPr>
          <w:rFonts w:hint="eastAsia" w:ascii="宋体" w:hAnsi="宋体" w:cs="宋体"/>
          <w:bCs/>
          <w:color w:val="auto"/>
          <w:sz w:val="24"/>
          <w:highlight w:val="none"/>
        </w:rPr>
        <w:t xml:space="preserve">就餐人数：</w:t>
      </w:r>
      <w:r>
        <w:rPr>
          <w:rFonts w:hint="eastAsia" w:ascii="宋体" w:hAnsi="宋体" w:cs="宋体"/>
          <w:bCs/>
          <w:color w:val="auto"/>
          <w:sz w:val="24"/>
          <w:highlight w:val="none"/>
          <w:lang w:val="en-US" w:eastAsia="zh-CN"/>
        </w:rPr>
        <w:t xml:space="preserve">职工就餐：1600人（早饭300人，午饭1200人，晚饭100人）；</w:t>
      </w:r>
      <w:r/>
    </w:p>
    <w:p>
      <w:pPr>
        <w:ind w:firstLine="480"/>
        <w:jc w:val="left"/>
        <w:spacing w:line="360" w:lineRule="auto"/>
        <w:widowControl/>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病员</w:t>
      </w:r>
      <w:r>
        <w:rPr>
          <w:rFonts w:hint="eastAsia" w:ascii="宋体" w:hAnsi="宋体" w:cs="宋体"/>
          <w:bCs/>
          <w:color w:val="auto"/>
          <w:sz w:val="24"/>
          <w:highlight w:val="none"/>
          <w:lang w:val="en-US" w:eastAsia="zh-CN"/>
        </w:rPr>
        <w:t xml:space="preserve">就餐：1300人（早饭400人，午饭500人，晚饭400人）；</w:t>
      </w:r>
      <w:r/>
    </w:p>
    <w:p>
      <w:pPr>
        <w:ind w:firstLine="480"/>
        <w:jc w:val="left"/>
        <w:spacing w:line="360" w:lineRule="auto"/>
        <w:widowControl/>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实际就餐人数、供餐时长均以医院现场实际需求及临时通知为准。</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二、服务期限</w:t>
      </w:r>
      <w:r/>
    </w:p>
    <w:p>
      <w:pPr>
        <w:ind w:firstLine="480"/>
        <w:jc w:val="left"/>
        <w:spacing w:line="360" w:lineRule="auto"/>
        <w:widowControl/>
        <w:rPr>
          <w:rFonts w:hint="eastAsia"/>
          <w:color w:val="auto"/>
          <w:sz w:val="24"/>
          <w:highlight w:val="none"/>
        </w:rPr>
      </w:pPr>
      <w:r>
        <w:rPr>
          <w:rFonts w:hint="eastAsia" w:ascii="宋体" w:hAnsi="宋体"/>
          <w:color w:val="auto"/>
          <w:sz w:val="24"/>
          <w:highlight w:val="none"/>
          <w:lang w:val="en-US" w:eastAsia="zh-CN"/>
        </w:rPr>
        <w:t xml:space="preserve">本项目服务总期限3年，</w:t>
      </w:r>
      <w:r>
        <w:rPr>
          <w:rFonts w:hint="eastAsia"/>
          <w:color w:val="auto"/>
          <w:sz w:val="24"/>
          <w:highlight w:val="none"/>
        </w:rPr>
        <w:t xml:space="preserve">合同总价款不得超过本项目预算总额。当合同累计实际支付金额达到采购预算总额时，本合同即时自动终止；若</w:t>
      </w:r>
      <w:r>
        <w:rPr>
          <w:rFonts w:hint="eastAsia"/>
          <w:color w:val="auto"/>
          <w:sz w:val="24"/>
          <w:highlight w:val="none"/>
          <w:lang w:val="en-US" w:eastAsia="zh-CN"/>
        </w:rPr>
        <w:t xml:space="preserve">3</w:t>
      </w:r>
      <w:r>
        <w:rPr>
          <w:rFonts w:hint="eastAsia"/>
          <w:color w:val="auto"/>
          <w:sz w:val="24"/>
          <w:highlight w:val="none"/>
        </w:rPr>
        <w:t xml:space="preserve">年服务期满但预算金额尚未使用完毕，合同到期自动终止。</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在服务总期限3年内，实行一年一签合同模式。每个服务年度期满，经采购人年度考核合格，可续签下一年度合同，最多续签2次；年度考核不合格，采购人有权直接终止合同，不予续签。</w:t>
      </w:r>
      <w:r/>
    </w:p>
    <w:p>
      <w:pPr>
        <w:numPr>
          <w:ilvl w:val="0"/>
          <w:numId w:val="17"/>
        </w:numPr>
        <w:ind w:firstLine="482"/>
        <w:jc w:val="left"/>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人员</w:t>
      </w:r>
      <w:r>
        <w:rPr>
          <w:rFonts w:hint="eastAsia" w:ascii="宋体" w:hAnsi="宋体" w:cs="宋体"/>
          <w:b/>
          <w:color w:val="auto"/>
          <w:sz w:val="24"/>
          <w:highlight w:val="none"/>
          <w:lang w:val="en-US" w:eastAsia="zh-CN"/>
        </w:rPr>
        <w:t xml:space="preserve">配置要求</w:t>
      </w:r>
      <w:r/>
    </w:p>
    <w:p>
      <w:pPr>
        <w:ind w:firstLine="480"/>
        <w:jc w:val="left"/>
        <w:spacing w:line="360" w:lineRule="auto"/>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1.投标人须根据服务需求配置运营人员不少于55人，包括但不限于</w:t>
      </w:r>
      <w:r>
        <w:rPr>
          <w:rFonts w:hint="eastAsia" w:ascii="宋体" w:hAnsi="宋体" w:cs="宋体"/>
          <w:color w:val="auto"/>
          <w:sz w:val="24"/>
          <w:highlight w:val="none"/>
        </w:rPr>
        <w:t xml:space="preserve">项目经理</w:t>
      </w:r>
      <w:r>
        <w:rPr>
          <w:rFonts w:hint="eastAsia" w:ascii="宋体" w:hAnsi="宋体" w:cs="宋体"/>
          <w:color w:val="auto"/>
          <w:sz w:val="24"/>
          <w:highlight w:val="none"/>
          <w:lang w:val="en-US" w:eastAsia="zh-CN"/>
        </w:rPr>
        <w:t xml:space="preserve">1人、</w:t>
      </w:r>
      <w:r>
        <w:rPr>
          <w:rFonts w:hint="eastAsia" w:ascii="宋体" w:hAnsi="宋体" w:cs="宋体"/>
          <w:color w:val="auto"/>
          <w:sz w:val="24"/>
          <w:highlight w:val="none"/>
        </w:rPr>
        <w:t xml:space="preserve">厨师长</w:t>
      </w:r>
      <w:r>
        <w:rPr>
          <w:rFonts w:hint="eastAsia" w:ascii="宋体" w:hAnsi="宋体" w:cs="宋体"/>
          <w:color w:val="auto"/>
          <w:sz w:val="24"/>
          <w:highlight w:val="none"/>
          <w:lang w:val="en-US" w:eastAsia="zh-CN"/>
        </w:rPr>
        <w:t xml:space="preserve">1人、</w:t>
      </w:r>
      <w:r>
        <w:rPr>
          <w:rFonts w:hint="eastAsia" w:ascii="宋体" w:hAnsi="宋体" w:cs="宋体"/>
          <w:color w:val="auto"/>
          <w:sz w:val="24"/>
          <w:highlight w:val="none"/>
        </w:rPr>
        <w:t xml:space="preserve">送餐员</w:t>
      </w:r>
      <w:r>
        <w:rPr>
          <w:rFonts w:hint="eastAsia" w:ascii="宋体" w:hAnsi="宋体" w:cs="宋体"/>
          <w:color w:val="auto"/>
          <w:sz w:val="24"/>
          <w:highlight w:val="none"/>
          <w:lang w:val="en-US" w:eastAsia="zh-CN"/>
        </w:rPr>
        <w:t xml:space="preserve">12人等。</w:t>
      </w:r>
      <w:r/>
    </w:p>
    <w:p>
      <w:pPr>
        <w:numPr>
          <w:ilvl w:val="0"/>
          <w:numId w:val="0"/>
        </w:numPr>
        <w:ind w:firstLine="480"/>
        <w:spacing w:line="360" w:lineRule="auto"/>
        <w:rPr>
          <w:rFonts w:hint="eastAsia" w:ascii="宋体" w:hAnsi="宋体" w:cs="Times New Roman"/>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t xml:space="preserve">2.</w:t>
      </w:r>
      <w:r>
        <w:rPr>
          <w:rFonts w:hint="default" w:ascii="宋体" w:hAnsi="宋体" w:cs="Times New Roman"/>
          <w:b w:val="0"/>
          <w:bCs w:val="0"/>
          <w:color w:val="auto"/>
          <w:sz w:val="24"/>
          <w:highlight w:val="none"/>
          <w:lang w:val="en-US" w:eastAsia="zh-CN"/>
        </w:rPr>
        <w:t xml:space="preserve">人员资质要求</w:t>
      </w:r>
      <w:r>
        <w:rPr>
          <w:rFonts w:hint="eastAsia" w:ascii="宋体" w:hAnsi="宋体" w:cs="Times New Roman"/>
          <w:b w:val="0"/>
          <w:bCs w:val="0"/>
          <w:color w:val="auto"/>
          <w:sz w:val="24"/>
          <w:highlight w:val="none"/>
          <w:lang w:val="en-US" w:eastAsia="zh-CN"/>
        </w:rPr>
        <w:t xml:space="preserve">：所有派驻人员均持有有效健康证、符合餐饮服务行业健康管理要求，持证上岗、足额缴纳社保，无违法违规记录。</w:t>
      </w:r>
      <w:r/>
    </w:p>
    <w:p>
      <w:pPr>
        <w:numPr>
          <w:ilvl w:val="0"/>
          <w:numId w:val="0"/>
        </w:numPr>
        <w:ind w:firstLine="480"/>
        <w:spacing w:line="360" w:lineRule="auto"/>
        <w:rPr>
          <w:rFonts w:hint="default" w:ascii="宋体" w:hAnsi="宋体" w:cs="Times New Roman"/>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t xml:space="preserve">3.中标人须按劳动法和国务院关于职工工作时间的规定，正常情况下，上述人员每日工作不超过8小时，每周工作不超过40小时。需安排加班的，中标人应配合并向劳动者支付加班费。</w:t>
      </w:r>
      <w:r/>
    </w:p>
    <w:p>
      <w:pPr>
        <w:numPr>
          <w:ilvl w:val="0"/>
          <w:numId w:val="0"/>
        </w:numPr>
        <w:ind w:firstLine="480"/>
        <w:spacing w:line="360" w:lineRule="auto"/>
        <w:rPr>
          <w:rFonts w:hint="eastAsia" w:ascii="宋体" w:hAnsi="宋体" w:cs="Times New Roman"/>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t xml:space="preserve">4.如因常州市第二人民医院原因导致投标人暂停餐厅服务，在此期间所涉及费用双方另行协商。</w:t>
      </w:r>
      <w:r/>
    </w:p>
    <w:p>
      <w:pPr>
        <w:numPr>
          <w:ilvl w:val="0"/>
          <w:numId w:val="17"/>
        </w:numPr>
        <w:ind w:left="0"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食堂运营及供餐要求</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（一）整体运营模式（医院半包模式：院方自营+食堂用工服务外包）</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1. 院方核心权限：全权掌握食材采购权、食材验收权、财务核算权、职工食堂定价权、食品安全监管权，把控食堂全部核心资源与经营风险。</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2. 中标人服务权限：仅提供全部食堂用工人员及现场运营劳务服务，无食材采购、耗材采购、资金收支权限；拥有病员食堂菜品自主定价权，所有定价必须经院方审核通过后方可执行。</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（二）营养食堂（包括病员和对外）</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1. 服务范围</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(1)职工食堂：含负一楼餐厅、体检中心</w:t>
      </w:r>
      <w:r>
        <w:rPr>
          <w:rFonts w:hint="eastAsia" w:ascii="宋体" w:hAnsi="宋体" w:cs="仿宋"/>
          <w:color w:val="auto"/>
          <w:sz w:val="24"/>
          <w:highlight w:val="none"/>
          <w:lang w:val="en-US" w:eastAsia="zh-CN"/>
        </w:rPr>
        <w:t xml:space="preserve">驻点</w:t>
      </w:r>
      <w:r>
        <w:rPr>
          <w:rFonts w:hint="eastAsia" w:ascii="宋体" w:hAnsi="宋体" w:cs="仿宋"/>
          <w:color w:val="auto"/>
          <w:sz w:val="24"/>
          <w:highlight w:val="none"/>
        </w:rPr>
        <w:t xml:space="preserve">早餐、手术室餐厅</w:t>
      </w:r>
      <w:r>
        <w:rPr>
          <w:rFonts w:hint="eastAsia" w:ascii="宋体" w:hAnsi="宋体" w:cs="仿宋"/>
          <w:color w:val="auto"/>
          <w:sz w:val="24"/>
          <w:highlight w:val="none"/>
          <w:lang w:val="en-US" w:eastAsia="zh-CN"/>
        </w:rPr>
        <w:t xml:space="preserve">驻点</w:t>
      </w:r>
      <w:r>
        <w:rPr>
          <w:rFonts w:hint="eastAsia" w:ascii="宋体" w:hAnsi="宋体" w:cs="仿宋"/>
          <w:color w:val="auto"/>
          <w:sz w:val="24"/>
          <w:highlight w:val="none"/>
        </w:rPr>
        <w:t xml:space="preserve">午餐、夜间职工订餐送餐、职工日常就餐、职工加班用餐、手术用餐、公务用餐、进修实习生的生活用餐、订送餐、包厢（如有）全流程用工服务，全年365天无休保障供餐；</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(2)病员食堂：含一楼餐厅、病房病员订餐送餐、病员零点餐、定制营养餐全流程服务</w:t>
      </w:r>
      <w:r>
        <w:rPr>
          <w:rFonts w:hint="eastAsia" w:ascii="宋体" w:hAnsi="宋体" w:cs="仿宋"/>
          <w:color w:val="auto"/>
          <w:sz w:val="24"/>
          <w:highlight w:val="none"/>
          <w:lang w:val="en-US" w:eastAsia="zh-CN"/>
        </w:rPr>
        <w:t xml:space="preserve">及其他服务</w:t>
      </w:r>
      <w:r>
        <w:rPr>
          <w:rFonts w:hint="eastAsia" w:ascii="宋体" w:hAnsi="宋体" w:cs="仿宋"/>
          <w:color w:val="auto"/>
          <w:sz w:val="24"/>
          <w:highlight w:val="none"/>
        </w:rPr>
        <w:t xml:space="preserve">。</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2. 经营方式</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本项目采用“自营 + 人力资源外包”核心模式，权责划分如下：</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(1) 院方负责食材采购权、食品安全监管权、财务核算权、职工食堂定价权，负责食材统一采购、质量验收、财务收支核算、食品安全全程监管；</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(2) 中标人负责人员派驻、现场运营管理、菜品制作、餐食配送、餐厅服务等劳务类工作，无食材、易耗品采购权限，不参与食材采购相关协助工作；享有病员食堂菜品定价的自主制定权（须经院方审核）。</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3. 结算及考勤规则</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管理服务费用按月支付</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每月月初由招标人带领中标人共同对中标人上月度的工作进行考核，考核低于80分，则当</w:t>
      </w:r>
      <w:r>
        <w:rPr>
          <w:rFonts w:hint="eastAsia" w:ascii="宋体" w:hAnsi="宋体" w:cs="仿宋"/>
          <w:color w:val="auto"/>
          <w:sz w:val="24"/>
          <w:highlight w:val="none"/>
          <w:lang w:val="en-US" w:eastAsia="zh-CN"/>
        </w:rPr>
        <w:t xml:space="preserve">月</w:t>
      </w:r>
      <w:r>
        <w:rPr>
          <w:rFonts w:hint="eastAsia" w:ascii="宋体" w:hAnsi="宋体" w:cs="仿宋"/>
          <w:color w:val="auto"/>
          <w:sz w:val="24"/>
          <w:highlight w:val="none"/>
        </w:rPr>
        <w:t xml:space="preserve">考核不合格，扣除相应的罚款，扣除后的其余费用，招标人在收到中标人发票后20个工作日内支付。</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4. 供餐时间（采购人可根据医院作息临时调整）</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(1) 就餐人数：职工早饭</w:t>
      </w:r>
      <w:r>
        <w:rPr>
          <w:rFonts w:hint="eastAsia" w:ascii="宋体" w:hAnsi="宋体" w:cs="仿宋"/>
          <w:color w:val="auto"/>
          <w:sz w:val="24"/>
          <w:highlight w:val="none"/>
          <w:lang w:val="en-US" w:eastAsia="zh-CN"/>
        </w:rPr>
        <w:t xml:space="preserve">约</w:t>
      </w:r>
      <w:r>
        <w:rPr>
          <w:rFonts w:hint="eastAsia" w:ascii="宋体" w:hAnsi="宋体" w:cs="仿宋"/>
          <w:color w:val="auto"/>
          <w:sz w:val="24"/>
          <w:highlight w:val="none"/>
        </w:rPr>
        <w:t xml:space="preserve">300人，午饭</w:t>
      </w:r>
      <w:r>
        <w:rPr>
          <w:rFonts w:hint="eastAsia" w:ascii="宋体" w:hAnsi="宋体" w:cs="仿宋"/>
          <w:color w:val="auto"/>
          <w:sz w:val="24"/>
          <w:highlight w:val="none"/>
          <w:lang w:val="en-US" w:eastAsia="zh-CN"/>
        </w:rPr>
        <w:t xml:space="preserve">约</w:t>
      </w:r>
      <w:r>
        <w:rPr>
          <w:rFonts w:hint="eastAsia" w:ascii="宋体" w:hAnsi="宋体" w:cs="仿宋"/>
          <w:color w:val="auto"/>
          <w:sz w:val="24"/>
          <w:highlight w:val="none"/>
        </w:rPr>
        <w:t xml:space="preserve">1200人，晚饭</w:t>
      </w:r>
      <w:r>
        <w:rPr>
          <w:rFonts w:hint="eastAsia" w:ascii="宋体" w:hAnsi="宋体" w:cs="仿宋"/>
          <w:color w:val="auto"/>
          <w:sz w:val="24"/>
          <w:highlight w:val="none"/>
          <w:lang w:val="en-US" w:eastAsia="zh-CN"/>
        </w:rPr>
        <w:t xml:space="preserve">约</w:t>
      </w:r>
      <w:r>
        <w:rPr>
          <w:rFonts w:hint="eastAsia" w:ascii="宋体" w:hAnsi="宋体" w:cs="仿宋"/>
          <w:color w:val="auto"/>
          <w:sz w:val="24"/>
          <w:highlight w:val="none"/>
        </w:rPr>
        <w:t xml:space="preserve">100人；病员早饭</w:t>
      </w:r>
      <w:r>
        <w:rPr>
          <w:rFonts w:hint="eastAsia" w:ascii="宋体" w:hAnsi="宋体" w:cs="仿宋"/>
          <w:color w:val="auto"/>
          <w:sz w:val="24"/>
          <w:highlight w:val="none"/>
          <w:lang w:val="en-US" w:eastAsia="zh-CN"/>
        </w:rPr>
        <w:t xml:space="preserve">约</w:t>
      </w:r>
      <w:r>
        <w:rPr>
          <w:rFonts w:hint="eastAsia" w:ascii="宋体" w:hAnsi="宋体" w:cs="仿宋"/>
          <w:color w:val="auto"/>
          <w:sz w:val="24"/>
          <w:highlight w:val="none"/>
        </w:rPr>
        <w:t xml:space="preserve">400人，午饭</w:t>
      </w:r>
      <w:r>
        <w:rPr>
          <w:rFonts w:hint="eastAsia" w:ascii="宋体" w:hAnsi="宋体" w:cs="仿宋"/>
          <w:color w:val="auto"/>
          <w:sz w:val="24"/>
          <w:highlight w:val="none"/>
          <w:lang w:val="en-US" w:eastAsia="zh-CN"/>
        </w:rPr>
        <w:t xml:space="preserve">约</w:t>
      </w:r>
      <w:r>
        <w:rPr>
          <w:rFonts w:hint="eastAsia" w:ascii="宋体" w:hAnsi="宋体" w:cs="仿宋"/>
          <w:color w:val="auto"/>
          <w:sz w:val="24"/>
          <w:highlight w:val="none"/>
        </w:rPr>
        <w:t xml:space="preserve">500人，晚饭</w:t>
      </w:r>
      <w:r>
        <w:rPr>
          <w:rFonts w:hint="eastAsia" w:ascii="宋体" w:hAnsi="宋体" w:cs="仿宋"/>
          <w:color w:val="auto"/>
          <w:sz w:val="24"/>
          <w:highlight w:val="none"/>
          <w:lang w:val="en-US" w:eastAsia="zh-CN"/>
        </w:rPr>
        <w:t xml:space="preserve">约</w:t>
      </w:r>
      <w:r>
        <w:rPr>
          <w:rFonts w:hint="eastAsia" w:ascii="宋体" w:hAnsi="宋体" w:cs="仿宋"/>
          <w:color w:val="auto"/>
          <w:sz w:val="24"/>
          <w:highlight w:val="none"/>
        </w:rPr>
        <w:t xml:space="preserve">400人，按实际就餐人数为准。</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(2) 就餐时间（具体时间根据医院要求调整）</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早餐：6:00至8:30</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午餐：10:30至12:30</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晚餐：16:00至18:30</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夜宵：18:00-次日06:00（保障医护人员</w:t>
      </w:r>
      <w:r>
        <w:rPr>
          <w:rFonts w:hint="eastAsia" w:ascii="宋体" w:hAnsi="宋体" w:cs="仿宋"/>
          <w:color w:val="auto"/>
          <w:sz w:val="24"/>
          <w:highlight w:val="none"/>
          <w:lang w:val="en-US" w:eastAsia="zh-CN"/>
        </w:rPr>
        <w:t xml:space="preserve">等</w:t>
      </w:r>
      <w:r>
        <w:rPr>
          <w:rFonts w:hint="eastAsia" w:ascii="宋体" w:hAnsi="宋体" w:cs="仿宋"/>
          <w:color w:val="auto"/>
          <w:sz w:val="24"/>
          <w:highlight w:val="none"/>
        </w:rPr>
        <w:t xml:space="preserve">夜间就餐）</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5. 餐饮标准</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（1）早餐：主食2种备选，点心8-10种备选，荤素菜品6种备选，蛋类1-2种备选，小菜2种备选，搭配粥、</w:t>
      </w:r>
      <w:r>
        <w:rPr>
          <w:rFonts w:hint="eastAsia" w:ascii="宋体" w:hAnsi="宋体" w:cs="仿宋"/>
          <w:color w:val="auto"/>
          <w:sz w:val="24"/>
          <w:highlight w:val="none"/>
          <w:lang w:val="en-US" w:eastAsia="zh-CN"/>
        </w:rPr>
        <w:t xml:space="preserve">拉面、</w:t>
      </w:r>
      <w:r>
        <w:rPr>
          <w:rFonts w:hint="eastAsia" w:ascii="宋体" w:hAnsi="宋体" w:cs="仿宋"/>
          <w:color w:val="auto"/>
          <w:sz w:val="24"/>
          <w:highlight w:val="none"/>
        </w:rPr>
        <w:t xml:space="preserve">汤品；</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（2）中餐：大荤8种备选，小荤5种备选，素菜5种备选，主食提供2种备选，例汤2种；同步供应粥、笃烂面、拉面、小炒、鱼汤</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lang w:val="en-US" w:eastAsia="zh-CN"/>
        </w:rPr>
        <w:t xml:space="preserve">特色小吃</w:t>
      </w:r>
      <w:r>
        <w:rPr>
          <w:rFonts w:hint="eastAsia" w:ascii="宋体" w:hAnsi="宋体" w:cs="仿宋"/>
          <w:color w:val="auto"/>
          <w:sz w:val="24"/>
          <w:highlight w:val="none"/>
        </w:rPr>
        <w:t xml:space="preserve">等品种餐食；</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（3）晚餐：全天合计供应不少于10种菜品；</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（4）夜宵：供应面条、泡饭等易消化简餐；</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（5）包厢餐：按照采购人公务接待、会议用餐要求定制菜品及配套服务。</w:t>
      </w:r>
      <w:r/>
    </w:p>
    <w:p>
      <w:pPr>
        <w:ind w:firstLine="480"/>
        <w:spacing w:line="360" w:lineRule="auto"/>
        <w:rPr>
          <w:rFonts w:hint="eastAsia" w:ascii="宋体" w:hAnsi="宋体" w:cs="仿宋"/>
          <w:b/>
          <w:bCs/>
          <w:color w:val="auto"/>
          <w:sz w:val="24"/>
          <w:highlight w:val="none"/>
          <w:lang w:val="en-US" w:eastAsia="zh-CN"/>
        </w:rPr>
      </w:pPr>
      <w:r>
        <w:rPr>
          <w:rFonts w:hint="eastAsia" w:ascii="宋体" w:hAnsi="宋体" w:eastAsia="宋体" w:cs="仿宋"/>
          <w:color w:val="auto"/>
          <w:sz w:val="24"/>
          <w:highlight w:val="none"/>
        </w:rPr>
        <w:t xml:space="preserve">★</w:t>
      </w:r>
      <w:r>
        <w:rPr>
          <w:rFonts w:hint="eastAsia" w:ascii="宋体" w:hAnsi="宋体" w:cs="仿宋"/>
          <w:b/>
          <w:bCs/>
          <w:color w:val="auto"/>
          <w:sz w:val="24"/>
          <w:highlight w:val="none"/>
          <w:lang w:val="en-US" w:eastAsia="zh-CN"/>
        </w:rPr>
        <w:t xml:space="preserve">注：预制菜比例不得超过20%，电子投标文件中提供承诺函，格式自拟，未提供则视为无效投标处理。</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6. 供餐形式</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小碗菜（职工用餐）及</w:t>
      </w:r>
      <w:r>
        <w:rPr>
          <w:rFonts w:hint="eastAsia" w:ascii="宋体" w:hAnsi="宋体" w:cs="仿宋"/>
          <w:color w:val="auto"/>
          <w:sz w:val="24"/>
          <w:highlight w:val="none"/>
        </w:rPr>
        <w:t xml:space="preserve">零点模式（病员及家属根据当日菜品自主点餐），中标人须做好点餐核对、精准配餐、按时送餐服务。</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7. 体检餐</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投标人自行制定体检餐餐品种类及餐品定价，满足体检人员用餐需求，体检餐菜单及定价须提前书面报送院方总务科审核备案。</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8. 菜品定价核心规则</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食堂板块</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定价权限</w:t>
      </w:r>
      <w:r>
        <w:rPr>
          <w:rFonts w:hint="eastAsia" w:ascii="宋体" w:hAnsi="宋体" w:cs="仿宋"/>
          <w:color w:val="auto"/>
          <w:sz w:val="24"/>
          <w:highlight w:val="none"/>
          <w:lang w:val="en-US" w:eastAsia="zh-CN"/>
        </w:rPr>
        <w:t xml:space="preserve">及</w:t>
      </w:r>
      <w:r>
        <w:rPr>
          <w:rFonts w:hint="eastAsia" w:ascii="宋体" w:hAnsi="宋体" w:cs="仿宋"/>
          <w:color w:val="auto"/>
          <w:sz w:val="24"/>
          <w:highlight w:val="none"/>
        </w:rPr>
        <w:t xml:space="preserve">执行规则</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职工食堂</w:t>
      </w:r>
      <w:r>
        <w:rPr>
          <w:rFonts w:hint="eastAsia" w:ascii="宋体" w:hAnsi="宋体" w:cs="仿宋"/>
          <w:color w:val="auto"/>
          <w:sz w:val="24"/>
          <w:highlight w:val="none"/>
          <w:lang w:val="en-US" w:eastAsia="zh-CN"/>
        </w:rPr>
        <w:t xml:space="preserve">由</w:t>
      </w:r>
      <w:r>
        <w:rPr>
          <w:rFonts w:hint="eastAsia" w:ascii="宋体" w:hAnsi="宋体" w:cs="仿宋"/>
          <w:color w:val="auto"/>
          <w:sz w:val="24"/>
          <w:highlight w:val="none"/>
        </w:rPr>
        <w:t xml:space="preserve">院方定价</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所有菜品、套餐价格由院方统一制定、公示，投标人须严格按定价执行，不得擅自加价、调整价格、减少菜品分量、降低菜品质量</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病员食堂</w:t>
      </w:r>
      <w:r>
        <w:rPr>
          <w:rFonts w:hint="eastAsia" w:ascii="宋体" w:hAnsi="宋体" w:cs="仿宋"/>
          <w:color w:val="auto"/>
          <w:sz w:val="24"/>
          <w:highlight w:val="none"/>
          <w:lang w:val="en-US" w:eastAsia="zh-CN"/>
        </w:rPr>
        <w:t xml:space="preserve">由</w:t>
      </w:r>
      <w:r>
        <w:rPr>
          <w:rFonts w:hint="eastAsia" w:ascii="宋体" w:hAnsi="宋体" w:cs="仿宋"/>
          <w:color w:val="auto"/>
          <w:sz w:val="24"/>
          <w:highlight w:val="none"/>
        </w:rPr>
        <w:t xml:space="preserve">投标人自主定价+院方审核制</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所有菜品、套餐、定制化餐食价格由投标人根据食材成本、运营成本、市场行情自主制定；所有价格必须提前以书面形式报院方总务科审核，审核通过后，方可正式执行；未经院方审核通过的价格，投标人不得擅自使用、对外公布；院方有权对病员食堂菜品价格进行常态化监管，若发现未按审核价格执行等情况，有权要求投标人立即整改、调整价格</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rPr>
        <w:t xml:space="preserve"> </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五</w:t>
      </w:r>
      <w:r>
        <w:rPr>
          <w:rFonts w:ascii="宋体" w:hAnsi="宋体"/>
          <w:b/>
          <w:color w:val="auto"/>
          <w:sz w:val="24"/>
          <w:highlight w:val="none"/>
        </w:rPr>
        <w:t xml:space="preserve">、服务要求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1.投标人应遵守《中华人民共和国食品安全法》、《餐饮服务食品安全操作规范》等法规政策文件要求，依据医院实际制定满足医院供餐配套服务方案。</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2.服务方案须包含营养配餐、医护职工餐的食品供应方案；</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3.服务方案须包含食品入库、出库、制作、售卖、配送及食品安全等管理措施与标准。</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4.服务方案应包括食堂满足医院需求的人力资源配置、人员职业卫生和环境卫生的管理措施标准等。</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5.医院有权对中标人在经营本项目的过程中出现问题责令其进行整改。</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6.医院定期组织满意度调查。</w:t>
      </w:r>
      <w:r/>
    </w:p>
    <w:p>
      <w:pPr>
        <w:ind w:firstLine="480"/>
        <w:spacing w:line="360" w:lineRule="auto"/>
        <w:rPr>
          <w:rFonts w:ascii="宋体" w:hAnsi="宋体" w:cs="仿宋"/>
          <w:color w:val="auto"/>
          <w:sz w:val="24"/>
          <w:highlight w:val="none"/>
        </w:rPr>
      </w:pPr>
      <w:r>
        <w:rPr>
          <w:rFonts w:ascii="宋体" w:hAnsi="宋体" w:cs="仿宋"/>
          <w:color w:val="auto"/>
          <w:sz w:val="24"/>
          <w:highlight w:val="none"/>
        </w:rPr>
        <w:t xml:space="preserve">7</w:t>
      </w:r>
      <w:r>
        <w:rPr>
          <w:rFonts w:hint="eastAsia" w:ascii="宋体" w:hAnsi="宋体" w:cs="仿宋"/>
          <w:color w:val="auto"/>
          <w:sz w:val="24"/>
          <w:highlight w:val="none"/>
        </w:rPr>
        <w:t xml:space="preserve">.中标人不得转让合同，不得转包或分包。</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六、项目服务费用分割</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（一）投标人承担费用</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1.管理服务人员费用，包括</w:t>
      </w:r>
      <w:r>
        <w:rPr>
          <w:rFonts w:ascii="宋体" w:hAnsi="宋体" w:cs="仿宋"/>
          <w:color w:val="auto"/>
          <w:sz w:val="24"/>
          <w:highlight w:val="none"/>
        </w:rPr>
        <w:t xml:space="preserve">人员工资、社保、法定节假日加班费和周末加班费、服装费</w:t>
      </w:r>
      <w:r>
        <w:rPr>
          <w:rFonts w:hint="eastAsia" w:ascii="宋体" w:hAnsi="宋体" w:cs="仿宋"/>
          <w:color w:val="auto"/>
          <w:sz w:val="24"/>
          <w:highlight w:val="none"/>
        </w:rPr>
        <w:t xml:space="preserve">等；</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2.管理服务人员住宿费用；</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3.厨师岗位高温补贴费用；</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4.管理费；</w:t>
      </w:r>
      <w:r/>
    </w:p>
    <w:p>
      <w:pPr>
        <w:ind w:firstLine="480"/>
        <w:spacing w:line="360" w:lineRule="auto"/>
        <w:rPr>
          <w:rFonts w:hint="eastAsia" w:ascii="宋体" w:hAnsi="宋体" w:cs="仿宋"/>
          <w:color w:val="auto"/>
          <w:sz w:val="24"/>
          <w:highlight w:val="none"/>
          <w:lang w:eastAsia="zh-CN"/>
        </w:rPr>
      </w:pPr>
      <w:r>
        <w:rPr>
          <w:rFonts w:hint="eastAsia" w:ascii="宋体" w:hAnsi="宋体" w:cs="仿宋"/>
          <w:color w:val="auto"/>
          <w:sz w:val="24"/>
          <w:highlight w:val="none"/>
        </w:rPr>
        <w:t xml:space="preserve">5.税金</w:t>
      </w:r>
      <w:r>
        <w:rPr>
          <w:rFonts w:hint="eastAsia" w:ascii="宋体" w:hAnsi="宋体" w:cs="仿宋"/>
          <w:color w:val="auto"/>
          <w:sz w:val="24"/>
          <w:highlight w:val="none"/>
          <w:lang w:eastAsia="zh-CN"/>
        </w:rPr>
        <w:t xml:space="preserve">；</w:t>
      </w:r>
      <w:r/>
    </w:p>
    <w:p>
      <w:pPr>
        <w:ind w:firstLine="480"/>
        <w:spacing w:line="360" w:lineRule="auto"/>
        <w:rPr>
          <w:rFonts w:ascii="宋体" w:hAnsi="宋体" w:cs="仿宋"/>
          <w:b w:val="0"/>
          <w:bCs w:val="0"/>
          <w:color w:val="auto"/>
          <w:sz w:val="24"/>
          <w:highlight w:val="none"/>
        </w:rPr>
      </w:pPr>
      <w:r>
        <w:rPr>
          <w:rFonts w:hint="eastAsia" w:ascii="宋体" w:hAnsi="宋体" w:eastAsia="宋体" w:cs="仿宋"/>
          <w:b w:val="0"/>
          <w:bCs w:val="0"/>
          <w:color w:val="auto"/>
          <w:sz w:val="24"/>
          <w:highlight w:val="none"/>
          <w:lang w:val="en-US" w:eastAsia="zh-CN"/>
        </w:rPr>
        <w:t xml:space="preserve">6.</w:t>
      </w:r>
      <w:r>
        <w:rPr>
          <w:rFonts w:hint="eastAsia" w:ascii="宋体" w:hAnsi="宋体" w:eastAsia="宋体" w:cs="仿宋"/>
          <w:b w:val="0"/>
          <w:bCs w:val="0"/>
          <w:color w:val="auto"/>
          <w:sz w:val="24"/>
          <w:highlight w:val="none"/>
        </w:rPr>
        <w:t xml:space="preserve">装修与设施改造核心约定</w:t>
      </w:r>
      <w:r>
        <w:rPr>
          <w:rFonts w:hint="eastAsia" w:ascii="宋体" w:hAnsi="宋体" w:eastAsia="宋体" w:cs="仿宋"/>
          <w:b w:val="0"/>
          <w:bCs w:val="0"/>
          <w:color w:val="auto"/>
          <w:sz w:val="24"/>
          <w:highlight w:val="none"/>
          <w:lang w:val="en-US" w:eastAsia="zh-CN"/>
        </w:rPr>
        <w:t xml:space="preserve">:</w:t>
      </w:r>
      <w:r>
        <w:rPr>
          <w:rFonts w:hint="eastAsia" w:ascii="宋体" w:hAnsi="宋体" w:eastAsia="宋体" w:cs="仿宋"/>
          <w:b w:val="0"/>
          <w:bCs w:val="0"/>
          <w:color w:val="auto"/>
          <w:sz w:val="24"/>
          <w:highlight w:val="none"/>
        </w:rPr>
        <w:t xml:space="preserve">若</w:t>
      </w:r>
      <w:r>
        <w:rPr>
          <w:rFonts w:hint="eastAsia" w:ascii="宋体" w:hAnsi="宋体" w:cs="仿宋"/>
          <w:b w:val="0"/>
          <w:bCs w:val="0"/>
          <w:color w:val="auto"/>
          <w:sz w:val="24"/>
          <w:highlight w:val="none"/>
        </w:rPr>
        <w:t xml:space="preserve">投标人</w:t>
      </w:r>
      <w:r>
        <w:rPr>
          <w:rFonts w:hint="eastAsia" w:ascii="宋体" w:hAnsi="宋体" w:eastAsia="宋体" w:cs="仿宋"/>
          <w:b w:val="0"/>
          <w:bCs w:val="0"/>
          <w:color w:val="auto"/>
          <w:sz w:val="24"/>
          <w:highlight w:val="none"/>
        </w:rPr>
        <w:t xml:space="preserve">需对食堂进行装修、改造、固定设施设备添置，全部费用由</w:t>
      </w:r>
      <w:r>
        <w:rPr>
          <w:rFonts w:hint="eastAsia" w:ascii="宋体" w:hAnsi="宋体" w:cs="仿宋"/>
          <w:b w:val="0"/>
          <w:bCs w:val="0"/>
          <w:color w:val="auto"/>
          <w:sz w:val="24"/>
          <w:highlight w:val="none"/>
        </w:rPr>
        <w:t xml:space="preserve">投标人</w:t>
      </w:r>
      <w:r>
        <w:rPr>
          <w:rFonts w:hint="eastAsia" w:ascii="宋体" w:hAnsi="宋体" w:eastAsia="宋体" w:cs="仿宋"/>
          <w:b w:val="0"/>
          <w:bCs w:val="0"/>
          <w:color w:val="auto"/>
          <w:sz w:val="24"/>
          <w:highlight w:val="none"/>
        </w:rPr>
        <w:t xml:space="preserve">自行承担，院方不承担任何装修、改造、设备采购相关费用；合同到期、合作终止或提前解除合同时，</w:t>
      </w:r>
      <w:r>
        <w:rPr>
          <w:rFonts w:hint="eastAsia" w:ascii="宋体" w:hAnsi="宋体" w:cs="仿宋"/>
          <w:color w:val="auto"/>
          <w:sz w:val="24"/>
          <w:highlight w:val="none"/>
        </w:rPr>
        <w:t xml:space="preserve">投标人</w:t>
      </w:r>
      <w:r>
        <w:rPr>
          <w:rFonts w:hint="eastAsia" w:ascii="宋体" w:hAnsi="宋体" w:eastAsia="宋体" w:cs="仿宋"/>
          <w:b w:val="0"/>
          <w:bCs w:val="0"/>
          <w:color w:val="auto"/>
          <w:sz w:val="24"/>
          <w:highlight w:val="none"/>
        </w:rPr>
        <w:t xml:space="preserve">装修、改造形成的所有固定装修、墙面地面工程、水电改造等，全部无偿归院方所有，</w:t>
      </w:r>
      <w:r>
        <w:rPr>
          <w:rFonts w:hint="eastAsia" w:ascii="宋体" w:hAnsi="宋体" w:cs="仿宋"/>
          <w:b w:val="0"/>
          <w:bCs w:val="0"/>
          <w:color w:val="auto"/>
          <w:sz w:val="24"/>
          <w:highlight w:val="none"/>
        </w:rPr>
        <w:t xml:space="preserve">投标人</w:t>
      </w:r>
      <w:r>
        <w:rPr>
          <w:rFonts w:hint="eastAsia" w:ascii="宋体" w:hAnsi="宋体" w:eastAsia="宋体" w:cs="仿宋"/>
          <w:b w:val="0"/>
          <w:bCs w:val="0"/>
          <w:color w:val="auto"/>
          <w:sz w:val="24"/>
          <w:highlight w:val="none"/>
        </w:rPr>
        <w:t xml:space="preserve">不得拆除、损坏、带走；</w:t>
      </w:r>
      <w:r>
        <w:rPr>
          <w:rFonts w:hint="eastAsia" w:ascii="宋体" w:hAnsi="宋体" w:cs="仿宋"/>
          <w:b w:val="0"/>
          <w:bCs w:val="0"/>
          <w:color w:val="auto"/>
          <w:sz w:val="24"/>
          <w:highlight w:val="none"/>
        </w:rPr>
        <w:t xml:space="preserve">投标人</w:t>
      </w:r>
      <w:r>
        <w:rPr>
          <w:rFonts w:hint="eastAsia" w:ascii="宋体" w:hAnsi="宋体" w:eastAsia="宋体" w:cs="仿宋"/>
          <w:b w:val="0"/>
          <w:bCs w:val="0"/>
          <w:color w:val="auto"/>
          <w:sz w:val="24"/>
          <w:highlight w:val="none"/>
        </w:rPr>
        <w:t xml:space="preserve">所有装修、改造方案须报院方审核同意，严格遵守医院消防安全、医疗感染控制、建筑安全等相关规范，装修过程中产生的所有安全责任、经济责任、合规责任均由</w:t>
      </w:r>
      <w:r>
        <w:rPr>
          <w:rFonts w:hint="eastAsia" w:ascii="宋体" w:hAnsi="宋体" w:cs="仿宋"/>
          <w:b w:val="0"/>
          <w:bCs w:val="0"/>
          <w:color w:val="auto"/>
          <w:sz w:val="24"/>
          <w:highlight w:val="none"/>
        </w:rPr>
        <w:t xml:space="preserve">投标人</w:t>
      </w:r>
      <w:r>
        <w:rPr>
          <w:rFonts w:hint="eastAsia" w:ascii="宋体" w:hAnsi="宋体" w:eastAsia="宋体" w:cs="仿宋"/>
          <w:b w:val="0"/>
          <w:bCs w:val="0"/>
          <w:color w:val="auto"/>
          <w:sz w:val="24"/>
          <w:highlight w:val="none"/>
        </w:rPr>
        <w:t xml:space="preserve">自行承担</w:t>
      </w:r>
      <w:r>
        <w:rPr>
          <w:rFonts w:hint="eastAsia" w:ascii="宋体" w:hAnsi="宋体" w:cs="仿宋"/>
          <w:b w:val="0"/>
          <w:bCs w:val="0"/>
          <w:color w:val="auto"/>
          <w:sz w:val="24"/>
          <w:highlight w:val="none"/>
          <w:lang w:eastAsia="zh-CN"/>
        </w:rPr>
        <w:t xml:space="preserve">（</w:t>
      </w:r>
      <w:r>
        <w:rPr>
          <w:rFonts w:hint="eastAsia" w:ascii="宋体" w:hAnsi="宋体" w:cs="仿宋"/>
          <w:b w:val="0"/>
          <w:bCs w:val="0"/>
          <w:color w:val="auto"/>
          <w:sz w:val="24"/>
          <w:highlight w:val="none"/>
          <w:lang w:val="en-US" w:eastAsia="zh-CN"/>
        </w:rPr>
        <w:t xml:space="preserve">不包含原设备维修、维保、年检等费用）</w:t>
      </w:r>
      <w:r>
        <w:rPr>
          <w:rFonts w:hint="eastAsia" w:ascii="宋体" w:hAnsi="宋体" w:eastAsia="宋体" w:cs="仿宋"/>
          <w:b w:val="0"/>
          <w:bCs w:val="0"/>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（二）招标人承担费用</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1.食材采购费用；</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2.食堂运营工具、耗材费用；</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3.餐厅水电等能耗、租金及物业费用；</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4.烟道清洗、病媒生物防治等单项服务费用；</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5.厨房设施设备采购及维修保养费用。</w:t>
      </w:r>
      <w:r/>
    </w:p>
    <w:p>
      <w:pPr>
        <w:ind w:firstLine="482"/>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七、报价规则</w:t>
      </w:r>
      <w:r/>
    </w:p>
    <w:p>
      <w:pPr>
        <w:ind w:firstLine="480"/>
        <w:spacing w:line="360" w:lineRule="auto"/>
        <w:rPr>
          <w:rFonts w:hint="eastAsia" w:ascii="宋体" w:hAnsi="宋体" w:eastAsia="宋体" w:cs="仿宋"/>
          <w:b w:val="0"/>
          <w:bCs w:val="0"/>
          <w:color w:val="auto"/>
          <w:sz w:val="24"/>
          <w:highlight w:val="none"/>
        </w:rPr>
      </w:pPr>
      <w:r>
        <w:rPr>
          <w:rFonts w:hint="eastAsia" w:ascii="宋体" w:hAnsi="宋体" w:cs="仿宋"/>
          <w:b w:val="0"/>
          <w:bCs w:val="0"/>
          <w:color w:val="auto"/>
          <w:sz w:val="24"/>
          <w:highlight w:val="none"/>
        </w:rPr>
        <w:t xml:space="preserve">投标人</w:t>
      </w:r>
      <w:r>
        <w:rPr>
          <w:rFonts w:hint="eastAsia" w:ascii="宋体" w:hAnsi="宋体" w:eastAsia="宋体" w:cs="仿宋"/>
          <w:b w:val="0"/>
          <w:bCs w:val="0"/>
          <w:color w:val="auto"/>
          <w:sz w:val="24"/>
          <w:highlight w:val="none"/>
        </w:rPr>
        <w:t xml:space="preserve">须严格按本</w:t>
      </w:r>
      <w:r>
        <w:rPr>
          <w:rFonts w:hint="eastAsia" w:ascii="宋体" w:hAnsi="宋体" w:eastAsia="宋体" w:cs="仿宋"/>
          <w:b w:val="0"/>
          <w:bCs w:val="0"/>
          <w:color w:val="auto"/>
          <w:sz w:val="24"/>
          <w:highlight w:val="none"/>
          <w:lang w:val="en-US" w:eastAsia="zh-CN"/>
        </w:rPr>
        <w:t xml:space="preserve">文件</w:t>
      </w:r>
      <w:r>
        <w:rPr>
          <w:rFonts w:hint="eastAsia" w:ascii="宋体" w:hAnsi="宋体" w:eastAsia="宋体" w:cs="仿宋"/>
          <w:b w:val="0"/>
          <w:bCs w:val="0"/>
          <w:color w:val="auto"/>
          <w:sz w:val="24"/>
          <w:highlight w:val="none"/>
        </w:rPr>
        <w:t xml:space="preserve">要求，填报报价</w:t>
      </w:r>
      <w:r>
        <w:rPr>
          <w:rFonts w:hint="eastAsia" w:ascii="宋体" w:hAnsi="宋体" w:cs="仿宋"/>
          <w:b w:val="0"/>
          <w:bCs w:val="0"/>
          <w:color w:val="auto"/>
          <w:sz w:val="24"/>
          <w:highlight w:val="none"/>
          <w:lang w:val="en-US" w:eastAsia="zh-CN"/>
        </w:rPr>
        <w:t xml:space="preserve">一览表及分项报价报</w:t>
      </w:r>
      <w:r>
        <w:rPr>
          <w:rFonts w:hint="eastAsia" w:ascii="宋体" w:hAnsi="宋体" w:eastAsia="宋体" w:cs="仿宋"/>
          <w:b w:val="0"/>
          <w:bCs w:val="0"/>
          <w:color w:val="auto"/>
          <w:sz w:val="24"/>
          <w:highlight w:val="none"/>
        </w:rPr>
        <w:t xml:space="preserve">，所有报价</w:t>
      </w:r>
      <w:r>
        <w:rPr>
          <w:rFonts w:hint="eastAsia" w:ascii="宋体" w:hAnsi="宋体" w:cs="仿宋"/>
          <w:b w:val="0"/>
          <w:bCs w:val="0"/>
          <w:color w:val="auto"/>
          <w:sz w:val="24"/>
          <w:highlight w:val="none"/>
          <w:lang w:val="en-US" w:eastAsia="zh-CN"/>
        </w:rPr>
        <w:t xml:space="preserve">参考前三年</w:t>
      </w:r>
      <w:r>
        <w:rPr>
          <w:rFonts w:hint="eastAsia" w:ascii="宋体" w:hAnsi="宋体" w:eastAsia="宋体" w:cs="仿宋"/>
          <w:b w:val="0"/>
          <w:bCs w:val="0"/>
          <w:color w:val="auto"/>
          <w:sz w:val="24"/>
          <w:highlight w:val="none"/>
        </w:rPr>
        <w:t xml:space="preserve">食堂营收数据（</w:t>
      </w:r>
      <w:r>
        <w:rPr>
          <w:rFonts w:hint="eastAsia" w:ascii="宋体" w:hAnsi="宋体" w:eastAsia="宋体" w:cs="仿宋"/>
          <w:b w:val="0"/>
          <w:bCs w:val="0"/>
          <w:color w:val="auto"/>
          <w:sz w:val="24"/>
          <w:highlight w:val="none"/>
          <w:lang w:val="en-US" w:eastAsia="zh-CN"/>
        </w:rPr>
        <w:t xml:space="preserve">2025年度</w:t>
      </w:r>
      <w:r>
        <w:rPr>
          <w:rFonts w:hint="eastAsia" w:ascii="宋体" w:hAnsi="宋体" w:eastAsia="宋体" w:cs="仿宋"/>
          <w:b w:val="0"/>
          <w:bCs w:val="0"/>
          <w:color w:val="auto"/>
          <w:sz w:val="24"/>
          <w:highlight w:val="none"/>
        </w:rPr>
        <w:t xml:space="preserve">总营收 949.21 万元，其中职工食堂 520.05 万元、病员食堂 429.16 万元</w:t>
      </w:r>
      <w:r>
        <w:rPr>
          <w:rFonts w:hint="eastAsia" w:ascii="宋体" w:hAnsi="宋体" w:eastAsia="宋体" w:cs="仿宋"/>
          <w:b w:val="0"/>
          <w:bCs w:val="0"/>
          <w:color w:val="auto"/>
          <w:sz w:val="24"/>
          <w:highlight w:val="none"/>
          <w:lang w:eastAsia="zh-CN"/>
        </w:rPr>
        <w:t xml:space="preserve">；</w:t>
      </w:r>
      <w:r>
        <w:rPr>
          <w:rFonts w:hint="eastAsia" w:ascii="宋体" w:hAnsi="宋体" w:eastAsia="宋体" w:cs="仿宋"/>
          <w:b w:val="0"/>
          <w:bCs w:val="0"/>
          <w:color w:val="auto"/>
          <w:sz w:val="24"/>
          <w:highlight w:val="none"/>
          <w:lang w:val="en-US" w:eastAsia="zh-CN"/>
        </w:rPr>
        <w:t xml:space="preserve">2024年度</w:t>
      </w:r>
      <w:r>
        <w:rPr>
          <w:rFonts w:hint="eastAsia" w:ascii="宋体" w:hAnsi="宋体" w:eastAsia="宋体" w:cs="仿宋"/>
          <w:b w:val="0"/>
          <w:bCs w:val="0"/>
          <w:color w:val="auto"/>
          <w:sz w:val="24"/>
          <w:highlight w:val="none"/>
        </w:rPr>
        <w:t xml:space="preserve">总营收 </w:t>
      </w:r>
      <w:r>
        <w:rPr>
          <w:rFonts w:hint="eastAsia" w:ascii="宋体" w:hAnsi="宋体" w:eastAsia="宋体" w:cs="仿宋"/>
          <w:b w:val="0"/>
          <w:bCs w:val="0"/>
          <w:color w:val="auto"/>
          <w:sz w:val="24"/>
          <w:highlight w:val="none"/>
          <w:lang w:val="en-US" w:eastAsia="zh-CN"/>
        </w:rPr>
        <w:t xml:space="preserve">1050.26</w:t>
      </w:r>
      <w:r>
        <w:rPr>
          <w:rFonts w:hint="eastAsia" w:ascii="宋体" w:hAnsi="宋体" w:eastAsia="宋体" w:cs="仿宋"/>
          <w:b w:val="0"/>
          <w:bCs w:val="0"/>
          <w:color w:val="auto"/>
          <w:sz w:val="24"/>
          <w:highlight w:val="none"/>
        </w:rPr>
        <w:t xml:space="preserve"> 万元，其中职工食堂 </w:t>
      </w:r>
      <w:r>
        <w:rPr>
          <w:rFonts w:hint="eastAsia" w:ascii="宋体" w:hAnsi="宋体" w:eastAsia="宋体" w:cs="仿宋"/>
          <w:b w:val="0"/>
          <w:bCs w:val="0"/>
          <w:color w:val="auto"/>
          <w:sz w:val="24"/>
          <w:highlight w:val="none"/>
          <w:lang w:val="en-US" w:eastAsia="zh-CN"/>
        </w:rPr>
        <w:t xml:space="preserve">585.80</w:t>
      </w:r>
      <w:r>
        <w:rPr>
          <w:rFonts w:hint="eastAsia" w:ascii="宋体" w:hAnsi="宋体" w:eastAsia="宋体" w:cs="仿宋"/>
          <w:b w:val="0"/>
          <w:bCs w:val="0"/>
          <w:color w:val="auto"/>
          <w:sz w:val="24"/>
          <w:highlight w:val="none"/>
        </w:rPr>
        <w:t xml:space="preserve"> 万元、病员食堂 </w:t>
      </w:r>
      <w:r>
        <w:rPr>
          <w:rFonts w:hint="eastAsia" w:ascii="宋体" w:hAnsi="宋体" w:eastAsia="宋体" w:cs="仿宋"/>
          <w:b w:val="0"/>
          <w:bCs w:val="0"/>
          <w:color w:val="auto"/>
          <w:sz w:val="24"/>
          <w:highlight w:val="none"/>
          <w:lang w:val="en-US" w:eastAsia="zh-CN"/>
        </w:rPr>
        <w:t xml:space="preserve">464.46</w:t>
      </w:r>
      <w:r>
        <w:rPr>
          <w:rFonts w:hint="eastAsia" w:ascii="宋体" w:hAnsi="宋体" w:eastAsia="宋体" w:cs="仿宋"/>
          <w:b w:val="0"/>
          <w:bCs w:val="0"/>
          <w:color w:val="auto"/>
          <w:sz w:val="24"/>
          <w:highlight w:val="none"/>
        </w:rPr>
        <w:t xml:space="preserve"> 万元</w:t>
      </w:r>
      <w:r>
        <w:rPr>
          <w:rFonts w:hint="eastAsia" w:ascii="宋体" w:hAnsi="宋体" w:eastAsia="宋体" w:cs="仿宋"/>
          <w:b w:val="0"/>
          <w:bCs w:val="0"/>
          <w:color w:val="auto"/>
          <w:sz w:val="24"/>
          <w:highlight w:val="none"/>
          <w:lang w:eastAsia="zh-CN"/>
        </w:rPr>
        <w:t xml:space="preserve">；</w:t>
      </w:r>
      <w:r>
        <w:rPr>
          <w:rFonts w:hint="eastAsia" w:ascii="宋体" w:hAnsi="宋体" w:eastAsia="宋体" w:cs="仿宋"/>
          <w:b w:val="0"/>
          <w:bCs w:val="0"/>
          <w:color w:val="auto"/>
          <w:sz w:val="24"/>
          <w:highlight w:val="none"/>
          <w:lang w:val="en-US" w:eastAsia="zh-CN"/>
        </w:rPr>
        <w:t xml:space="preserve">2023年度</w:t>
      </w:r>
      <w:r>
        <w:rPr>
          <w:rFonts w:hint="eastAsia" w:ascii="宋体" w:hAnsi="宋体" w:eastAsia="宋体" w:cs="仿宋"/>
          <w:b w:val="0"/>
          <w:bCs w:val="0"/>
          <w:color w:val="auto"/>
          <w:sz w:val="24"/>
          <w:highlight w:val="none"/>
        </w:rPr>
        <w:t xml:space="preserve">总营收 </w:t>
      </w:r>
      <w:r>
        <w:rPr>
          <w:rFonts w:hint="eastAsia" w:ascii="宋体" w:hAnsi="宋体" w:eastAsia="宋体" w:cs="仿宋"/>
          <w:b w:val="0"/>
          <w:bCs w:val="0"/>
          <w:color w:val="auto"/>
          <w:sz w:val="24"/>
          <w:highlight w:val="none"/>
          <w:lang w:val="en-US" w:eastAsia="zh-CN"/>
        </w:rPr>
        <w:t xml:space="preserve">871.92</w:t>
      </w:r>
      <w:r>
        <w:rPr>
          <w:rFonts w:hint="eastAsia" w:ascii="宋体" w:hAnsi="宋体" w:eastAsia="宋体" w:cs="仿宋"/>
          <w:b w:val="0"/>
          <w:bCs w:val="0"/>
          <w:color w:val="auto"/>
          <w:sz w:val="24"/>
          <w:highlight w:val="none"/>
        </w:rPr>
        <w:t xml:space="preserve"> 万元，其中职工食堂 </w:t>
      </w:r>
      <w:r>
        <w:rPr>
          <w:rFonts w:hint="eastAsia" w:ascii="宋体" w:hAnsi="宋体" w:eastAsia="宋体" w:cs="仿宋"/>
          <w:b w:val="0"/>
          <w:bCs w:val="0"/>
          <w:color w:val="auto"/>
          <w:sz w:val="24"/>
          <w:highlight w:val="none"/>
          <w:lang w:val="en-US" w:eastAsia="zh-CN"/>
        </w:rPr>
        <w:t xml:space="preserve">434.54</w:t>
      </w:r>
      <w:r>
        <w:rPr>
          <w:rFonts w:hint="eastAsia" w:ascii="宋体" w:hAnsi="宋体" w:eastAsia="宋体" w:cs="仿宋"/>
          <w:b w:val="0"/>
          <w:bCs w:val="0"/>
          <w:color w:val="auto"/>
          <w:sz w:val="24"/>
          <w:highlight w:val="none"/>
        </w:rPr>
        <w:t xml:space="preserve"> 万元、病员食堂 </w:t>
      </w:r>
      <w:r>
        <w:rPr>
          <w:rFonts w:hint="eastAsia" w:ascii="宋体" w:hAnsi="宋体" w:eastAsia="宋体" w:cs="仿宋"/>
          <w:b w:val="0"/>
          <w:bCs w:val="0"/>
          <w:color w:val="auto"/>
          <w:sz w:val="24"/>
          <w:highlight w:val="none"/>
          <w:lang w:val="en-US" w:eastAsia="zh-CN"/>
        </w:rPr>
        <w:t xml:space="preserve">437.38</w:t>
      </w:r>
      <w:r>
        <w:rPr>
          <w:rFonts w:hint="eastAsia" w:ascii="宋体" w:hAnsi="宋体" w:eastAsia="宋体" w:cs="仿宋"/>
          <w:b w:val="0"/>
          <w:bCs w:val="0"/>
          <w:color w:val="auto"/>
          <w:sz w:val="24"/>
          <w:highlight w:val="none"/>
        </w:rPr>
        <w:t xml:space="preserve"> 万元）测算，报价真实、合理、完整，无任何附加收费、隐形费用</w:t>
      </w:r>
      <w:r>
        <w:rPr>
          <w:rFonts w:hint="eastAsia" w:ascii="宋体" w:hAnsi="宋体" w:eastAsia="宋体" w:cs="仿宋"/>
          <w:color w:val="auto"/>
          <w:sz w:val="24"/>
          <w:highlight w:val="none"/>
        </w:rPr>
        <w:t xml:space="preserve">。</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b w:val="0"/>
          <w:bCs w:val="0"/>
          <w:color w:val="auto"/>
          <w:sz w:val="24"/>
          <w:highlight w:val="none"/>
        </w:rPr>
        <w:t xml:space="preserve">本项目服务费包含全部派驻人员薪酬、社保、公积金、福利、加班费、工装、体检、保险、企业管理费、利润、税费等所有相关费用，</w:t>
      </w:r>
      <w:r>
        <w:rPr>
          <w:rFonts w:hint="eastAsia" w:ascii="宋体" w:hAnsi="宋体" w:eastAsia="宋体" w:cs="仿宋"/>
          <w:b w:val="0"/>
          <w:bCs w:val="0"/>
          <w:color w:val="auto"/>
          <w:sz w:val="24"/>
          <w:highlight w:val="none"/>
          <w:lang w:val="en-US" w:eastAsia="zh-CN"/>
        </w:rPr>
        <w:t xml:space="preserve">除减亏分成外，</w:t>
      </w:r>
      <w:r>
        <w:rPr>
          <w:rFonts w:hint="eastAsia" w:ascii="宋体" w:hAnsi="宋体" w:eastAsia="宋体" w:cs="仿宋"/>
          <w:b w:val="0"/>
          <w:bCs w:val="0"/>
          <w:color w:val="auto"/>
          <w:sz w:val="24"/>
          <w:highlight w:val="none"/>
        </w:rPr>
        <w:t xml:space="preserve">院方不另行支付任何其他费用；服务费按月度实际营收 × 约定比例计提，月度结算</w:t>
      </w:r>
      <w:r>
        <w:rPr>
          <w:rFonts w:hint="eastAsia" w:ascii="宋体" w:hAnsi="宋体" w:eastAsia="宋体" w:cs="仿宋"/>
          <w:b w:val="0"/>
          <w:bCs w:val="0"/>
          <w:color w:val="auto"/>
          <w:sz w:val="24"/>
          <w:highlight w:val="none"/>
          <w:lang w:eastAsia="zh-CN"/>
        </w:rPr>
        <w:t xml:space="preserve">；</w:t>
      </w:r>
      <w:r>
        <w:rPr>
          <w:rFonts w:hint="eastAsia" w:ascii="宋体" w:hAnsi="宋体" w:eastAsia="宋体" w:cs="仿宋"/>
          <w:b w:val="0"/>
          <w:bCs w:val="0"/>
          <w:color w:val="auto"/>
          <w:sz w:val="24"/>
          <w:highlight w:val="none"/>
          <w:lang w:val="en-US" w:eastAsia="zh-CN"/>
        </w:rPr>
        <w:t xml:space="preserve">减亏分成金额于年度财务核算完成后一次性支付</w:t>
      </w:r>
      <w:r>
        <w:rPr>
          <w:rFonts w:hint="eastAsia" w:ascii="宋体" w:hAnsi="宋体" w:eastAsia="宋体" w:cs="仿宋"/>
          <w:color w:val="auto"/>
          <w:sz w:val="24"/>
          <w:highlight w:val="none"/>
        </w:rPr>
        <w:t xml:space="preserve">。</w:t>
      </w:r>
      <w:r/>
    </w:p>
    <w:p>
      <w:pPr>
        <w:ind w:firstLine="480"/>
        <w:spacing w:line="360" w:lineRule="auto"/>
        <w:rPr>
          <w:rFonts w:hint="eastAsia" w:ascii="宋体" w:hAnsi="宋体" w:eastAsia="宋体" w:cs="仿宋"/>
          <w:color w:val="auto"/>
          <w:sz w:val="24"/>
          <w:highlight w:val="none"/>
          <w:lang w:eastAsia="zh-CN"/>
        </w:rPr>
      </w:pPr>
      <w:r>
        <w:rPr>
          <w:rFonts w:hint="eastAsia" w:ascii="宋体" w:hAnsi="宋体" w:eastAsia="宋体" w:cs="仿宋"/>
          <w:color w:val="auto"/>
          <w:sz w:val="24"/>
          <w:highlight w:val="none"/>
        </w:rPr>
        <w:t xml:space="preserve">★投标人投标报价中，服务费占职工食堂总营收的固定比例不得高于占病员食堂总营收的固定比例，</w:t>
      </w:r>
      <w:r>
        <w:rPr>
          <w:rFonts w:hint="eastAsia" w:ascii="宋体" w:hAnsi="宋体" w:eastAsia="宋体" w:cs="仿宋"/>
          <w:b w:val="0"/>
          <w:bCs w:val="0"/>
          <w:color w:val="auto"/>
          <w:sz w:val="24"/>
          <w:highlight w:val="none"/>
          <w:lang w:val="en-US" w:eastAsia="zh-CN"/>
        </w:rPr>
        <w:t xml:space="preserve">电子投标文件中提供承诺函，格式自拟，未提供则视为无效投标处理。</w:t>
      </w:r>
      <w:r/>
    </w:p>
    <w:p>
      <w:pPr>
        <w:numPr>
          <w:ilvl w:val="0"/>
          <w:numId w:val="18"/>
        </w:numPr>
        <w:ind w:firstLine="482"/>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其他</w:t>
      </w:r>
      <w:r/>
    </w:p>
    <w:p>
      <w:pPr>
        <w:numPr>
          <w:ilvl w:val="0"/>
          <w:numId w:val="0"/>
        </w:numPr>
        <w:ind w:firstLine="240"/>
        <w:spacing w:line="360" w:lineRule="auto"/>
        <w:rPr>
          <w:rFonts w:hint="eastAsia" w:ascii="宋体" w:hAnsi="宋体" w:eastAsia="宋体" w:cs="仿宋"/>
          <w:color w:val="auto"/>
          <w:sz w:val="24"/>
          <w:highlight w:val="none"/>
          <w:lang w:val="en-US" w:eastAsia="zh-CN"/>
        </w:rPr>
      </w:pPr>
      <w:r>
        <w:rPr>
          <w:rFonts w:ascii="宋体" w:hAnsi="宋体" w:cs="Segoe UI Symbol"/>
          <w:color w:val="auto"/>
          <w:sz w:val="24"/>
          <w:highlight w:val="none"/>
        </w:rPr>
        <w:t xml:space="preserve">★</w:t>
      </w:r>
      <w:r>
        <w:rPr>
          <w:rFonts w:hint="eastAsia" w:ascii="宋体" w:hAnsi="宋体" w:cs="Segoe UI Symbol"/>
          <w:color w:val="auto"/>
          <w:sz w:val="24"/>
          <w:highlight w:val="none"/>
          <w:lang w:val="en-US" w:eastAsia="zh-CN"/>
        </w:rPr>
        <w:t xml:space="preserve">1.</w:t>
      </w:r>
      <w:r>
        <w:rPr>
          <w:rFonts w:hint="eastAsia" w:ascii="宋体" w:hAnsi="宋体" w:eastAsia="宋体" w:cs="仿宋"/>
          <w:color w:val="auto"/>
          <w:sz w:val="24"/>
          <w:highlight w:val="none"/>
          <w:lang w:val="en-US" w:eastAsia="zh-CN"/>
        </w:rPr>
        <w:t xml:space="preserve">投标人电子投标文件中须提供</w:t>
      </w:r>
      <w:r>
        <w:rPr>
          <w:rFonts w:hint="eastAsia" w:ascii="宋体" w:hAnsi="宋体" w:eastAsia="宋体" w:cs="仿宋"/>
          <w:color w:val="auto"/>
          <w:sz w:val="24"/>
          <w:highlight w:val="none"/>
        </w:rPr>
        <w:t xml:space="preserve">商务与服务承诺函</w:t>
      </w:r>
      <w:r>
        <w:rPr>
          <w:rFonts w:hint="eastAsia" w:ascii="宋体" w:hAnsi="宋体" w:eastAsia="宋体" w:cs="仿宋"/>
          <w:color w:val="auto"/>
          <w:sz w:val="24"/>
          <w:highlight w:val="none"/>
          <w:lang w:val="en-US" w:eastAsia="zh-CN"/>
        </w:rPr>
        <w:t xml:space="preserve">(见附件5)，未提供则视为无效投标处理。</w:t>
      </w:r>
      <w:r/>
    </w:p>
    <w:p>
      <w:pPr>
        <w:numPr>
          <w:ilvl w:val="0"/>
          <w:numId w:val="0"/>
        </w:numPr>
        <w:ind w:firstLine="240"/>
        <w:spacing w:line="360" w:lineRule="auto"/>
        <w:rPr>
          <w:rFonts w:hint="eastAsia" w:ascii="宋体" w:hAnsi="宋体" w:eastAsia="宋体" w:cs="仿宋"/>
          <w:b w:val="0"/>
          <w:bCs w:val="0"/>
          <w:color w:val="auto"/>
          <w:sz w:val="24"/>
          <w:highlight w:val="none"/>
          <w:lang w:val="en-US" w:eastAsia="zh-CN"/>
        </w:rPr>
      </w:pPr>
      <w:r>
        <w:rPr>
          <w:rFonts w:ascii="宋体" w:hAnsi="宋体" w:cs="Segoe UI Symbol"/>
          <w:color w:val="auto"/>
          <w:sz w:val="24"/>
          <w:highlight w:val="none"/>
        </w:rPr>
        <w:t xml:space="preserve">★</w:t>
      </w:r>
      <w:r>
        <w:rPr>
          <w:rFonts w:hint="eastAsia" w:ascii="宋体" w:hAnsi="宋体" w:cs="Segoe UI Symbol"/>
          <w:color w:val="auto"/>
          <w:sz w:val="24"/>
          <w:highlight w:val="none"/>
          <w:lang w:val="en-US" w:eastAsia="zh-CN"/>
        </w:rPr>
        <w:t xml:space="preserve">2.</w:t>
      </w:r>
      <w:r>
        <w:rPr>
          <w:rFonts w:hint="eastAsia" w:ascii="宋体" w:hAnsi="宋体" w:eastAsia="宋体" w:cs="仿宋"/>
          <w:color w:val="auto"/>
          <w:sz w:val="24"/>
          <w:highlight w:val="none"/>
          <w:lang w:val="en-US" w:eastAsia="zh-CN"/>
        </w:rPr>
        <w:t xml:space="preserve">食堂实现减亏部分的分成比例：院方</w:t>
      </w:r>
      <w:r>
        <w:rPr>
          <w:rFonts w:hint="eastAsia" w:ascii="宋体" w:hAnsi="宋体" w:eastAsia="宋体" w:cs="仿宋"/>
          <w:color w:val="auto"/>
          <w:sz w:val="24"/>
          <w:highlight w:val="none"/>
          <w:u w:val="single"/>
          <w:lang w:val="en-US" w:eastAsia="zh-CN"/>
        </w:rPr>
        <w:t xml:space="preserve"> 70 </w:t>
      </w:r>
      <w:r>
        <w:rPr>
          <w:rFonts w:hint="eastAsia" w:ascii="宋体" w:hAnsi="宋体" w:eastAsia="宋体" w:cs="仿宋"/>
          <w:color w:val="auto"/>
          <w:sz w:val="24"/>
          <w:highlight w:val="none"/>
          <w:lang w:val="en-US" w:eastAsia="zh-CN"/>
        </w:rPr>
        <w:t xml:space="preserve">%，投标人</w:t>
      </w:r>
      <w:r>
        <w:rPr>
          <w:rFonts w:hint="eastAsia" w:ascii="宋体" w:hAnsi="宋体" w:eastAsia="宋体" w:cs="仿宋"/>
          <w:color w:val="auto"/>
          <w:sz w:val="24"/>
          <w:highlight w:val="none"/>
          <w:u w:val="single"/>
          <w:lang w:val="en-US" w:eastAsia="zh-CN"/>
        </w:rPr>
        <w:t xml:space="preserve"> 30 </w:t>
      </w:r>
      <w:r>
        <w:rPr>
          <w:rFonts w:hint="eastAsia" w:ascii="宋体" w:hAnsi="宋体" w:eastAsia="宋体" w:cs="仿宋"/>
          <w:color w:val="auto"/>
          <w:sz w:val="24"/>
          <w:highlight w:val="none"/>
          <w:lang w:val="en-US" w:eastAsia="zh-CN"/>
        </w:rPr>
        <w:t xml:space="preserve">%。减亏金额以院方财务最终核算数据为准；分成金额于年度财务核算完成后一次性支付；若年度未实现减亏，投标人不参与分成。</w:t>
      </w:r>
      <w:r>
        <w:rPr>
          <w:rFonts w:hint="eastAsia" w:ascii="宋体" w:hAnsi="宋体" w:eastAsia="宋体" w:cs="仿宋"/>
          <w:b w:val="0"/>
          <w:bCs w:val="0"/>
          <w:color w:val="auto"/>
          <w:sz w:val="24"/>
          <w:highlight w:val="none"/>
          <w:lang w:val="en-US" w:eastAsia="zh-CN"/>
        </w:rPr>
        <w:t xml:space="preserve">电子投标文件中提供承诺函，格式自拟，未提供则视为无效投标处理。</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rPr>
      </w:r>
      <w:r/>
    </w:p>
    <w:p>
      <w:pPr>
        <w:pStyle w:val="860"/>
        <w:rPr>
          <w:rFonts w:ascii="宋体" w:hAnsi="宋体" w:eastAsia="宋体" w:cs="仿宋"/>
          <w:color w:val="auto"/>
          <w:sz w:val="24"/>
          <w:szCs w:val="24"/>
          <w:highlight w:val="none"/>
        </w:rPr>
      </w:pPr>
      <w:r>
        <w:rPr>
          <w:rFonts w:ascii="宋体" w:hAnsi="宋体" w:eastAsia="宋体" w:cs="仿宋"/>
          <w:color w:val="auto"/>
          <w:sz w:val="24"/>
          <w:szCs w:val="24"/>
          <w:highlight w:val="none"/>
        </w:rPr>
        <w:br w:type="page" w:clear="all"/>
      </w:r>
      <w:r>
        <w:rPr>
          <w:rFonts w:hint="eastAsia" w:ascii="宋体" w:hAnsi="宋体" w:eastAsia="宋体" w:cs="仿宋"/>
          <w:color w:val="auto"/>
          <w:sz w:val="24"/>
          <w:szCs w:val="24"/>
          <w:highlight w:val="none"/>
        </w:rPr>
        <w:t xml:space="preserve">附件：管理与服务考评的标准</w:t>
      </w:r>
      <w:r/>
    </w:p>
    <w:p>
      <w:pPr>
        <w:jc w:val="center"/>
        <w:rPr>
          <w:rFonts w:ascii="宋体" w:hAnsi="宋体"/>
          <w:b/>
          <w:bCs/>
          <w:color w:val="auto"/>
          <w:sz w:val="24"/>
          <w:highlight w:val="none"/>
        </w:rPr>
      </w:pPr>
      <w:r>
        <w:rPr>
          <w:rFonts w:hint="eastAsia" w:ascii="宋体" w:hAnsi="宋体"/>
          <w:b/>
          <w:bCs/>
          <w:color w:val="auto"/>
          <w:sz w:val="24"/>
          <w:highlight w:val="none"/>
        </w:rPr>
        <w:t xml:space="preserve">餐厅考核标准</w:t>
      </w:r>
      <w:r/>
    </w:p>
    <w:tbl>
      <w:tblPr>
        <w:tblStyle w:val="86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76"/>
        <w:gridCol w:w="1176"/>
        <w:gridCol w:w="4771"/>
        <w:gridCol w:w="1392"/>
      </w:tblGrid>
      <w:tr>
        <w:trPr>
          <w:trHeight w:val="276"/>
        </w:trPr>
        <w:tc>
          <w:tcPr>
            <w:shd w:val="clear" w:color="auto" w:fill="auto"/>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违规等级</w:t>
            </w:r>
            <w:r/>
          </w:p>
        </w:tc>
        <w:tc>
          <w:tcPr>
            <w:shd w:val="clear" w:color="auto" w:fill="auto"/>
            <w:tcBorders>
              <w:top w:val="single" w:color="auto" w:sz="4" w:space="0"/>
              <w:left w:val="none" w:color="000000"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违规项</w:t>
            </w:r>
            <w:r/>
          </w:p>
        </w:tc>
        <w:tc>
          <w:tcPr>
            <w:shd w:val="clear" w:color="000000" w:fill="ffffff"/>
            <w:tcBorders>
              <w:top w:val="single" w:color="auto" w:sz="4" w:space="0"/>
              <w:left w:val="none" w:color="000000" w:sz="4" w:space="0"/>
              <w:bottom w:val="single" w:color="auto" w:sz="4" w:space="0"/>
              <w:right w:val="single" w:color="auto" w:sz="4" w:space="0"/>
            </w:tcBorders>
            <w:tcW w:w="2831" w:type="pct"/>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具体内容</w:t>
            </w:r>
            <w:r/>
          </w:p>
        </w:tc>
        <w:tc>
          <w:tcPr>
            <w:tcBorders>
              <w:top w:val="single" w:color="auto" w:sz="4" w:space="0"/>
              <w:left w:val="none" w:color="000000" w:sz="4" w:space="0"/>
              <w:bottom w:val="single" w:color="auto" w:sz="4" w:space="0"/>
              <w:right w:val="single" w:color="auto" w:sz="4" w:space="0"/>
            </w:tcBorders>
            <w:tcW w:w="847" w:type="pct"/>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处罚标准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A级</w:t>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食品安全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造成伤害人数30人以上的食品安全事故</w:t>
            </w:r>
            <w:r/>
          </w:p>
        </w:tc>
        <w:tc>
          <w:tcPr>
            <w:tcBorders>
              <w:top w:val="none" w:color="000000" w:sz="4" w:space="0"/>
              <w:left w:val="single" w:color="auto" w:sz="4" w:space="0"/>
              <w:bottom w:val="single" w:color="auto" w:sz="4" w:space="0"/>
              <w:right w:val="single" w:color="auto" w:sz="4" w:space="0"/>
            </w:tcBorders>
            <w:tcW w:w="847"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每项扣20分，当月考核不合格，视情节轻重可提前解除合同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消防安全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引起火灾或发生人员重伤的消防安全事故</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人员管理</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员工泄露甲方相关重要信息导致甲方遭受损失的</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其他</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年度内因乙方原因造成误餐或停餐累计超过三次</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提供的经营资质或相关材料有虚假行为，资不抵债或与第三方发生经济纠纷</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私自将项目转包给第三方管理</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B级</w:t>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食品安全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使用过期或变质原材料，员工食用后有不良反应</w:t>
            </w:r>
            <w:r/>
          </w:p>
        </w:tc>
        <w:tc>
          <w:tcPr>
            <w:tcBorders>
              <w:top w:val="none" w:color="000000" w:sz="4" w:space="0"/>
              <w:left w:val="single" w:color="auto" w:sz="4" w:space="0"/>
              <w:bottom w:val="single" w:color="000000" w:sz="4" w:space="0"/>
              <w:right w:val="single" w:color="auto" w:sz="4" w:space="0"/>
            </w:tcBorders>
            <w:tcW w:w="847"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每项每出现一次扣10分，罚款2000元</w:t>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未按冷藏（冻）要求储存食品，或加工后未及时进行冷藏（冻），导致食物变质，致使员工食用后有不良反应</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未按操作要求，导致食材污染，员工食用后有不良反应</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生熟食品加工工具及容器未分开使用导致交叉污染，致使员工食用后有不良反应</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餐具未按规定进行清洗消毒直接使用的，致使员工食用后有不良反应</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生产安全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后厨机械设备未做安全防护，导致工作人员重伤</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私自布置电线，私接大功率电器，接电不规范等原因导致重大安全隐患</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none" w:color="000000" w:sz="4" w:space="0"/>
              <w:bottom w:val="none" w:color="000000" w:sz="4" w:space="0"/>
              <w:right w:val="single" w:color="auto" w:sz="4" w:space="0"/>
            </w:tcBorders>
            <w:tcW w:w="661" w:type="pct"/>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人员管理</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员工私自携带甲方贵重物品（1000元以上）离开院区</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其他</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因乙方原因未及时报备，导致造成误餐、停餐的情况</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C级</w:t>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食品安全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并使用未经报备的三无产品，或对供应商无索证、无农残药残检测报告的情况</w:t>
            </w:r>
            <w:r/>
          </w:p>
        </w:tc>
        <w:tc>
          <w:tcPr>
            <w:tcBorders>
              <w:top w:val="none" w:color="000000" w:sz="4" w:space="0"/>
              <w:left w:val="single" w:color="auto" w:sz="4" w:space="0"/>
              <w:bottom w:val="single" w:color="000000" w:sz="4" w:space="0"/>
              <w:right w:val="single" w:color="auto" w:sz="4" w:space="0"/>
            </w:tcBorders>
            <w:tcW w:w="847"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每项每出现一次扣3分，罚款600元</w:t>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使用甲方明确禁止使用的食材</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出现针头、铁钉、玻璃、烟头等伤害性异物</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生产安全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后厨机械设备故障未及时维修或做标识，导致工作人员受伤</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地面油污、积水严重未及时清理，导致员工摔成重伤</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未及时清理下水管道或人为原因造成管道堵塞，损坏相关设备造成财产损失</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消防安全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员工操作不当引起灶台着火，但及时扑灭未造成人员伤害或财产损失</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员工未按规定在非吸烟区吸烟，引起火灾，但及时扑灭未造成人员伤害、财产损失</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人员管理</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员工患传染性疾病或手部受伤化脓未及时调离岗位</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未对员工进行安全相关培训，导致员工操作不当受伤或造成经济损失</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其他</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对甲方提出的重要需求推诿或者未能在规定时间内给予配合支持</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D级</w:t>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食品安全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未按先进先出原则进行库存管理，导致食材变质腐坏</w:t>
            </w:r>
            <w:r/>
          </w:p>
        </w:tc>
        <w:tc>
          <w:tcPr>
            <w:tcBorders>
              <w:top w:val="none" w:color="000000" w:sz="4" w:space="0"/>
              <w:left w:val="single" w:color="auto" w:sz="4" w:space="0"/>
              <w:bottom w:val="single" w:color="auto" w:sz="4" w:space="0"/>
              <w:right w:val="single" w:color="auto" w:sz="4" w:space="0"/>
            </w:tcBorders>
            <w:tcW w:w="847"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每项每出现一次扣0.5分，罚款100元</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剩菜未按规定及时销毁，隔夜继续进行售卖的</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检查中发现有原材料过期、变质，未及时处置的</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食品添加剂未专柜管理，使用时未称量准确，未按照规定进行记录</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出现苍蝇、蟑螂、创口贴、清洁球丝等严重异物</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消防安全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未按规定配置灭火毯，消防设备堵塞消防通道，消防设施器材损坏未及时报修</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未按规定要求，在非吸烟区吸烟或乱扔烟头</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人员管理</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人员配置不足影响供餐服务品质导致投诉</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员工入职未及时办理健康证或健康证过期未及时更新</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其他</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未经审核私自售卖菜品</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菜品分量不足或随意标价</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未按垃圾分类要求处理垃圾，导致环境问题</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未对设备及时进行维修保养，导致设备损坏无法使用，或人为导致设备损坏</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E级</w:t>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食品安全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原材料进货台账及相关证明报告未及时留存或做好记录</w:t>
            </w:r>
            <w:r/>
          </w:p>
        </w:tc>
        <w:tc>
          <w:tcPr>
            <w:tcBorders>
              <w:top w:val="none" w:color="000000" w:sz="4" w:space="0"/>
              <w:left w:val="single" w:color="auto" w:sz="4" w:space="0"/>
              <w:bottom w:val="single" w:color="auto" w:sz="4" w:space="0"/>
              <w:right w:val="single" w:color="auto" w:sz="4" w:space="0"/>
            </w:tcBorders>
            <w:tcW w:w="847"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每项每出现一次扣0.2</w:t>
            </w:r>
            <w:r>
              <w:rPr>
                <w:rFonts w:ascii="宋体" w:hAnsi="宋体" w:cs="宋体"/>
                <w:color w:val="auto"/>
                <w:sz w:val="24"/>
                <w:highlight w:val="none"/>
              </w:rPr>
              <w:t xml:space="preserve">5</w:t>
            </w:r>
            <w:r>
              <w:rPr>
                <w:rFonts w:hint="eastAsia" w:ascii="宋体" w:hAnsi="宋体" w:cs="宋体"/>
                <w:color w:val="auto"/>
                <w:sz w:val="24"/>
                <w:highlight w:val="none"/>
              </w:rPr>
              <w:t xml:space="preserve">分，罚款50元</w:t>
            </w:r>
            <w:r/>
          </w:p>
        </w:tc>
      </w:tr>
      <w:tr>
        <w:trPr>
          <w:trHeight w:val="9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原材料及容器未按储存规定离地摆放，未将不同原料及半成品、成品进行分区、分类存放，未进行防护及正确张贴相关标识标签</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加工区无明确划分，标识缺失，有混用现象</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刀具、砧板、容器、毛巾等未按规定分类使用，破损未及时更新</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冰箱、冷库未配置温湿度计，设置温度不符合标准要求，未及时清理除霜</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后厨或售卖未按规范进行操作，有食品安全隐患</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未按规定配置紫外线消毒灯或未按规定时间进行消毒，并做好记录</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未按规定进行食品留样或留样分量不符合要求，未进行相关留样信息登记</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出现头发、竹屑、石子、菜虫等轻中度异物</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餐具防护不到位，卫生不合格，餐具上有明显污渍或餐具短缺、破损不及时更换</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餐厅现场环境卫生不达标</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按规范要求需进行的记录未填写完整或记录不真实</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未布置或未使用防蚊、灭鼠等灭四害设施设备，未及时协调甲方进行消杀，现场有虫害活动迹象</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能源环境</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未按甲方规定开关空调，或未及时关闭水电造成浪费</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未按要求处理垃圾，出现垃圾满溢、桶未清洁归位等情况</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生产安全</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设备防护损坏未及时维修，导致有安全隐患的</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化学品定位，出现随意乱摆乱放</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配电箱未保持上锁状态，无安全标识，内部及附近堆放杂物，插座不符合规范</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燃气管道堆放易燃易爆及其他杂物，灶台点火棒胶存放使用不规范</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服务管理</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甲方员工对现场投诉未及时处理</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投诉未按规定进行记录</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对投诉处理标准不清楚，未向员工解释说明或未按标准赔偿</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因收银员计算错误导致的刷卡错误且处理方式不当，导致员工投诉</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未按规定对菜品进行明码标价或菜价牌摆放错误</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快餐线菜品供应品种少，菜品供应量不足</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病房订餐未及时送达，导致病人投诉</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未按规定对员工进行卫生、操作规范、消防安全、投诉处理等相关培训，无培训记录</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61"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餐厅对我方提出的合理需求推诿或者未能在在需求时间内给予配合支持</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600"/>
        </w:trPr>
        <w:tc>
          <w:tcPr>
            <w:gridSpan w:val="2"/>
            <w:shd w:val="clear" w:color="000000" w:fill="ffffff"/>
            <w:tcBorders>
              <w:top w:val="single" w:color="auto" w:sz="4" w:space="0"/>
              <w:left w:val="single" w:color="auto" w:sz="4" w:space="0"/>
              <w:bottom w:val="single" w:color="000000" w:sz="4" w:space="0"/>
              <w:right w:val="single" w:color="000000" w:sz="4" w:space="0"/>
            </w:tcBorders>
            <w:tcW w:w="1322"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激励表扬</w:t>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员工通过论坛、表扬信等渠道主动对餐厅进行表扬或感谢，经核实确有其事</w:t>
            </w:r>
            <w:r/>
          </w:p>
        </w:tc>
        <w:tc>
          <w:tcPr>
            <w:shd w:val="clear" w:color="000000" w:fill="ffffff"/>
            <w:tcBorders>
              <w:top w:val="none" w:color="000000" w:sz="4" w:space="0"/>
              <w:left w:val="single" w:color="auto" w:sz="4" w:space="0"/>
              <w:bottom w:val="single" w:color="000000" w:sz="4" w:space="0"/>
              <w:right w:val="single" w:color="auto" w:sz="4" w:space="0"/>
            </w:tcBorders>
            <w:tcW w:w="847"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每项加1分</w:t>
            </w:r>
            <w:r/>
          </w:p>
        </w:tc>
      </w:tr>
      <w:tr>
        <w:trPr>
          <w:trHeight w:val="300"/>
        </w:trPr>
        <w:tc>
          <w:tcPr>
            <w:gridSpan w:val="2"/>
            <w:shd w:val="clear" w:color="auto" w:fill="auto"/>
            <w:tcBorders>
              <w:top w:val="single" w:color="auto" w:sz="4" w:space="0"/>
              <w:left w:val="single" w:color="auto" w:sz="4" w:space="0"/>
              <w:bottom w:val="single" w:color="000000" w:sz="4" w:space="0"/>
              <w:right w:val="single" w:color="000000" w:sz="4" w:space="0"/>
            </w:tcBorders>
            <w:tcW w:w="1322"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餐厅主动策划员工活动且反响较好</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gridSpan w:val="2"/>
            <w:shd w:val="clear" w:color="auto" w:fill="auto"/>
            <w:tcBorders>
              <w:top w:val="single" w:color="auto" w:sz="4" w:space="0"/>
              <w:left w:val="single" w:color="auto" w:sz="4" w:space="0"/>
              <w:bottom w:val="single" w:color="000000" w:sz="4" w:space="0"/>
              <w:right w:val="single" w:color="000000" w:sz="4" w:space="0"/>
            </w:tcBorders>
            <w:tcW w:w="1322"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餐厅主动提升服务并得到员工的认可</w:t>
            </w:r>
            <w:r/>
          </w:p>
        </w:tc>
        <w:tc>
          <w:tcPr>
            <w:tcBorders>
              <w:top w:val="none" w:color="000000" w:sz="4" w:space="0"/>
              <w:left w:val="single" w:color="auto" w:sz="4" w:space="0"/>
              <w:bottom w:val="single" w:color="000000"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300"/>
        </w:trPr>
        <w:tc>
          <w:tcPr>
            <w:gridSpan w:val="2"/>
            <w:shd w:val="clear" w:color="auto" w:fill="auto"/>
            <w:tcBorders>
              <w:top w:val="single" w:color="auto" w:sz="4" w:space="0"/>
              <w:left w:val="single" w:color="auto" w:sz="4" w:space="0"/>
              <w:bottom w:val="single" w:color="auto" w:sz="4" w:space="0"/>
              <w:right w:val="single" w:color="000000" w:sz="4" w:space="0"/>
            </w:tcBorders>
            <w:tcW w:w="1322"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83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当月管理有较大提升，扣分累积小于等于3分</w:t>
            </w:r>
            <w:r/>
          </w:p>
        </w:tc>
        <w:tc>
          <w:tcPr>
            <w:tcBorders>
              <w:top w:val="none" w:color="000000" w:sz="4" w:space="0"/>
              <w:left w:val="single" w:color="auto" w:sz="4" w:space="0"/>
              <w:bottom w:val="single" w:color="auto" w:sz="4" w:space="0"/>
              <w:right w:val="single" w:color="auto" w:sz="4" w:space="0"/>
            </w:tcBorders>
            <w:tcW w:w="847"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r>
      <w:tr>
        <w:trPr>
          <w:trHeight w:val="423"/>
        </w:trPr>
        <w:tc>
          <w:tcPr>
            <w:gridSpan w:val="4"/>
            <w:tcBorders>
              <w:top w:val="single" w:color="auto" w:sz="4" w:space="0"/>
              <w:left w:val="single" w:color="auto" w:sz="4" w:space="0"/>
              <w:bottom w:val="single" w:color="auto" w:sz="4" w:space="0"/>
              <w:right w:val="single" w:color="auto" w:sz="4" w:space="0"/>
            </w:tcBorders>
            <w:tcW w:w="5000" w:type="pct"/>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备注：                                                                                                                                                                                                                                         </w:t>
            </w:r>
            <w:r>
              <w:rPr>
                <w:rFonts w:ascii="宋体" w:hAnsi="宋体" w:cs="宋体"/>
                <w:color w:val="auto"/>
                <w:sz w:val="24"/>
                <w:highlight w:val="none"/>
              </w:rPr>
              <w:t xml:space="preserve">1</w:t>
            </w:r>
            <w:r>
              <w:rPr>
                <w:rFonts w:hint="eastAsia" w:ascii="宋体" w:hAnsi="宋体" w:cs="宋体"/>
                <w:color w:val="auto"/>
                <w:sz w:val="24"/>
                <w:highlight w:val="none"/>
              </w:rPr>
              <w:t xml:space="preserve">、以月度考核分值为10</w:t>
            </w:r>
            <w:r>
              <w:rPr>
                <w:rFonts w:ascii="宋体" w:hAnsi="宋体" w:cs="宋体"/>
                <w:color w:val="auto"/>
                <w:sz w:val="24"/>
                <w:highlight w:val="none"/>
              </w:rPr>
              <w:t xml:space="preserve">0</w:t>
            </w:r>
            <w:r>
              <w:rPr>
                <w:rFonts w:hint="eastAsia" w:ascii="宋体" w:hAnsi="宋体" w:cs="宋体"/>
                <w:color w:val="auto"/>
                <w:sz w:val="24"/>
                <w:highlight w:val="none"/>
              </w:rPr>
              <w:t xml:space="preserve">分，当月考核扣分超过20分，则当月考核不合格，按考核扣分对应的罚款。                                                                                                                                                                               </w:t>
            </w:r>
            <w:r>
              <w:rPr>
                <w:rFonts w:ascii="宋体" w:hAnsi="宋体" w:cs="宋体"/>
                <w:color w:val="auto"/>
                <w:sz w:val="24"/>
                <w:highlight w:val="none"/>
              </w:rPr>
              <w:t xml:space="preserve">2</w:t>
            </w:r>
            <w:r>
              <w:rPr>
                <w:rFonts w:hint="eastAsia" w:ascii="宋体" w:hAnsi="宋体" w:cs="宋体"/>
                <w:color w:val="auto"/>
                <w:sz w:val="24"/>
                <w:highlight w:val="none"/>
              </w:rPr>
              <w:t xml:space="preserve">、若当月扣分少于20分，月度考核为合格，则根据单项违规进行考核。                                                                                                                                                                                                                  </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3、招标人有权视实际情况的变化修正考核表。  </w:t>
            </w:r>
            <w:r/>
          </w:p>
        </w:tc>
      </w:tr>
    </w:tbl>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2"/>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ind w:firstLine="482"/>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ind w:firstLine="482"/>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rPr>
          <w:rFonts w:ascii="宋体" w:hAnsi="宋体"/>
          <w:b/>
          <w:color w:val="auto"/>
          <w:sz w:val="36"/>
          <w:szCs w:val="36"/>
          <w:highlight w:val="none"/>
        </w:rPr>
      </w:pPr>
      <w:r/>
      <w:bookmarkStart w:id="823" w:name="_Toc8697"/>
      <w:r>
        <w:rPr>
          <w:rFonts w:ascii="宋体" w:hAnsi="宋体"/>
          <w:b/>
          <w:color w:val="auto"/>
          <w:sz w:val="36"/>
          <w:szCs w:val="36"/>
          <w:highlight w:val="none"/>
        </w:rPr>
        <w:br w:type="page" w:clear="all"/>
      </w:r>
      <w:r/>
    </w:p>
    <w:p>
      <w:pPr>
        <w:jc w:val="center"/>
        <w:spacing w:line="440" w:lineRule="exact"/>
        <w:rPr>
          <w:rFonts w:ascii="宋体" w:hAnsi="宋体"/>
          <w:b/>
          <w:color w:val="auto"/>
          <w:sz w:val="36"/>
          <w:szCs w:val="36"/>
          <w:highlight w:val="none"/>
        </w:rPr>
      </w:pPr>
      <w:r>
        <w:rPr>
          <w:rFonts w:ascii="宋体" w:hAnsi="宋体"/>
          <w:b/>
          <w:color w:val="auto"/>
          <w:sz w:val="36"/>
          <w:szCs w:val="36"/>
          <w:highlight w:val="none"/>
        </w:rPr>
        <w:t xml:space="preserve">第六章   拟签订的合同文本</w:t>
      </w:r>
      <w:bookmarkEnd w:id="823"/>
      <w:r/>
      <w:r/>
    </w:p>
    <w:p>
      <w:pPr>
        <w:ind w:firstLine="480"/>
        <w:spacing w:line="360" w:lineRule="auto"/>
        <w:rPr>
          <w:color w:val="auto"/>
          <w:sz w:val="24"/>
          <w:highlight w:val="none"/>
        </w:rPr>
      </w:pPr>
      <w:r/>
      <w:bookmarkStart w:id="824" w:name="_Hlk146638433"/>
      <w:r/>
      <w:r/>
    </w:p>
    <w:p>
      <w:pPr>
        <w:ind w:firstLine="480"/>
        <w:spacing w:line="360" w:lineRule="auto"/>
        <w:rPr>
          <w:color w:val="auto"/>
          <w:sz w:val="24"/>
          <w:highlight w:val="none"/>
        </w:rPr>
      </w:pPr>
      <w:r>
        <w:rPr>
          <w:rFonts w:hint="eastAsia"/>
          <w:color w:val="auto"/>
          <w:sz w:val="24"/>
          <w:highlight w:val="none"/>
        </w:rPr>
        <w:t xml:space="preserve">招标单位</w:t>
      </w:r>
      <w:r>
        <w:rPr>
          <w:color w:val="auto"/>
          <w:sz w:val="24"/>
          <w:highlight w:val="none"/>
        </w:rPr>
        <w:t xml:space="preserve">（</w:t>
      </w:r>
      <w:r>
        <w:rPr>
          <w:rFonts w:hint="eastAsia"/>
          <w:color w:val="auto"/>
          <w:sz w:val="24"/>
          <w:highlight w:val="none"/>
        </w:rPr>
        <w:t xml:space="preserve">甲方</w:t>
      </w:r>
      <w:r>
        <w:rPr>
          <w:color w:val="auto"/>
          <w:sz w:val="24"/>
          <w:highlight w:val="none"/>
        </w:rPr>
        <w:t xml:space="preserve">）</w:t>
      </w:r>
      <w:r>
        <w:rPr>
          <w:rFonts w:hint="eastAsia"/>
          <w:color w:val="auto"/>
          <w:sz w:val="24"/>
          <w:highlight w:val="none"/>
        </w:rPr>
        <w:t xml:space="preserve">：                        合同编号：</w:t>
      </w:r>
      <w:r/>
    </w:p>
    <w:p>
      <w:pPr>
        <w:ind w:firstLine="480"/>
        <w:spacing w:line="360" w:lineRule="auto"/>
        <w:rPr>
          <w:color w:val="auto"/>
          <w:sz w:val="24"/>
          <w:highlight w:val="none"/>
        </w:rPr>
      </w:pPr>
      <w:r>
        <w:rPr>
          <w:rFonts w:hint="eastAsia"/>
          <w:color w:val="auto"/>
          <w:sz w:val="24"/>
          <w:highlight w:val="none"/>
        </w:rPr>
        <w:t xml:space="preserve">中标单位</w:t>
      </w:r>
      <w:r>
        <w:rPr>
          <w:color w:val="auto"/>
          <w:sz w:val="24"/>
          <w:highlight w:val="none"/>
        </w:rPr>
        <w:t xml:space="preserve">（</w:t>
      </w:r>
      <w:r>
        <w:rPr>
          <w:rFonts w:hint="eastAsia"/>
          <w:color w:val="auto"/>
          <w:sz w:val="24"/>
          <w:highlight w:val="none"/>
        </w:rPr>
        <w:t xml:space="preserve">乙方</w:t>
      </w:r>
      <w:r>
        <w:rPr>
          <w:color w:val="auto"/>
          <w:sz w:val="24"/>
          <w:highlight w:val="none"/>
        </w:rPr>
        <w:t xml:space="preserve">）</w:t>
      </w:r>
      <w:r>
        <w:rPr>
          <w:rFonts w:hint="eastAsia"/>
          <w:color w:val="auto"/>
          <w:sz w:val="24"/>
          <w:highlight w:val="none"/>
        </w:rPr>
        <w:t xml:space="preserve">：                        签订地点：</w:t>
      </w:r>
      <w:bookmarkEnd w:id="824"/>
      <w:r/>
    </w:p>
    <w:p>
      <w:pPr>
        <w:pStyle w:val="883"/>
        <w:ind w:firstLine="480"/>
        <w:spacing w:line="360" w:lineRule="exact"/>
        <w:rPr>
          <w:rFonts w:hint="default" w:cs="宋体"/>
          <w:color w:val="auto"/>
          <w:sz w:val="24"/>
          <w:szCs w:val="24"/>
          <w:highlight w:val="none"/>
        </w:rPr>
      </w:pPr>
      <w:r>
        <w:rPr>
          <w:rFonts w:hint="default" w:cs="宋体"/>
          <w:color w:val="auto"/>
          <w:sz w:val="24"/>
          <w:szCs w:val="24"/>
          <w:highlight w:val="none"/>
        </w:rPr>
      </w:r>
      <w:r/>
    </w:p>
    <w:p>
      <w:pPr>
        <w:pStyle w:val="883"/>
        <w:ind w:firstLine="484"/>
        <w:spacing w:line="360" w:lineRule="auto"/>
        <w:rPr>
          <w:rFonts w:cs="宋体"/>
          <w:color w:val="auto"/>
          <w:sz w:val="24"/>
          <w:szCs w:val="24"/>
          <w:highlight w:val="none"/>
        </w:rPr>
      </w:pPr>
      <w:r>
        <w:rPr>
          <w:rFonts w:cs="宋体"/>
          <w:color w:val="auto"/>
          <w:sz w:val="24"/>
          <w:szCs w:val="24"/>
          <w:highlight w:val="none"/>
        </w:rPr>
        <w:t xml:space="preserve">甲、乙双方依据《中华人民共和国民法典》以及有关法律、法规的规定，经协商一致，订立本合同，以便共同遵守。</w:t>
      </w:r>
      <w:r/>
    </w:p>
    <w:p>
      <w:pPr>
        <w:pStyle w:val="883"/>
        <w:ind w:firstLine="487"/>
        <w:spacing w:line="360" w:lineRule="auto"/>
        <w:rPr>
          <w:rFonts w:cs="宋体"/>
          <w:b/>
          <w:color w:val="auto"/>
          <w:sz w:val="24"/>
          <w:szCs w:val="24"/>
          <w:highlight w:val="none"/>
        </w:rPr>
      </w:pPr>
      <w:r>
        <w:rPr>
          <w:rFonts w:cs="宋体"/>
          <w:b/>
          <w:color w:val="auto"/>
          <w:sz w:val="24"/>
          <w:szCs w:val="24"/>
          <w:highlight w:val="none"/>
        </w:rPr>
        <w:t xml:space="preserve">第一条 合同标的</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highlight w:val="none"/>
          <w:u w:val="none"/>
          <w:lang w:val="zh-CN"/>
        </w:rPr>
        <w:t xml:space="preserve">常州市第二人民医院阳湖院区食堂餐饮服务项目</w:t>
      </w:r>
      <w:r>
        <w:rPr>
          <w:rFonts w:hint="eastAsia" w:ascii="宋体" w:hAnsi="宋体" w:cs="宋体"/>
          <w:b/>
          <w:bCs/>
          <w:color w:val="auto"/>
          <w:sz w:val="24"/>
          <w:szCs w:val="24"/>
          <w:highlight w:val="none"/>
          <w:lang w:val="zh-CN"/>
        </w:rPr>
        <w:t xml:space="preserve">”</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883"/>
        <w:ind w:firstLine="487"/>
        <w:spacing w:line="360" w:lineRule="auto"/>
        <w:rPr>
          <w:rFonts w:cs="宋体"/>
          <w:b/>
          <w:color w:val="auto"/>
          <w:sz w:val="24"/>
          <w:szCs w:val="24"/>
          <w:highlight w:val="none"/>
        </w:rPr>
      </w:pPr>
      <w:r>
        <w:rPr>
          <w:rFonts w:cs="宋体"/>
          <w:b/>
          <w:color w:val="auto"/>
          <w:sz w:val="24"/>
          <w:szCs w:val="24"/>
          <w:highlight w:val="none"/>
        </w:rPr>
        <w:t xml:space="preserve">第二条 合同价格</w:t>
      </w:r>
      <w:r/>
    </w:p>
    <w:tbl>
      <w:tblPr>
        <w:tblStyle w:val="869"/>
        <w:tblW w:w="497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670"/>
        <w:gridCol w:w="1883"/>
        <w:gridCol w:w="1553"/>
        <w:gridCol w:w="4311"/>
      </w:tblGrid>
      <w:tr>
        <w:trPr>
          <w:jc w:val="center"/>
          <w:tblHeade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83"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项目</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53"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固定比例</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311"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8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职工食堂板块：服务费占职工食堂总营收的</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311"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s="仿宋"/>
                <w:color w:val="auto"/>
                <w:sz w:val="24"/>
                <w:highlight w:val="none"/>
              </w:rPr>
              <w:t xml:space="preserve">含负一楼餐厅、体检中心</w:t>
            </w:r>
            <w:r>
              <w:rPr>
                <w:rFonts w:hint="eastAsia" w:ascii="宋体" w:hAnsi="宋体" w:cs="仿宋"/>
                <w:color w:val="auto"/>
                <w:sz w:val="24"/>
                <w:highlight w:val="none"/>
                <w:lang w:val="en-US" w:eastAsia="zh-CN"/>
              </w:rPr>
              <w:t xml:space="preserve">驻点</w:t>
            </w:r>
            <w:r>
              <w:rPr>
                <w:rFonts w:hint="eastAsia" w:ascii="宋体" w:hAnsi="宋体" w:cs="仿宋"/>
                <w:color w:val="auto"/>
                <w:sz w:val="24"/>
                <w:highlight w:val="none"/>
              </w:rPr>
              <w:t xml:space="preserve">早餐、手术室餐厅</w:t>
            </w:r>
            <w:r>
              <w:rPr>
                <w:rFonts w:hint="eastAsia" w:ascii="宋体" w:hAnsi="宋体" w:cs="仿宋"/>
                <w:color w:val="auto"/>
                <w:sz w:val="24"/>
                <w:highlight w:val="none"/>
                <w:lang w:val="en-US" w:eastAsia="zh-CN"/>
              </w:rPr>
              <w:t xml:space="preserve">驻点</w:t>
            </w:r>
            <w:r>
              <w:rPr>
                <w:rFonts w:hint="eastAsia" w:ascii="宋体" w:hAnsi="宋体" w:cs="仿宋"/>
                <w:color w:val="auto"/>
                <w:sz w:val="24"/>
                <w:highlight w:val="none"/>
              </w:rPr>
              <w:t xml:space="preserve">午餐、夜间职工订餐送餐、职工日常就餐、职工加班用餐、手术用餐、公务用餐、进修实习生的生活用餐、订送餐、包厢（如有）全流程用工服务，全年365天无休保障供餐</w:t>
            </w:r>
            <w:r>
              <w:rPr>
                <w:rFonts w:hint="eastAsia" w:ascii="宋体" w:hAnsi="宋体" w:eastAsia="宋体" w:cs="宋体"/>
                <w:color w:val="auto"/>
                <w:sz w:val="24"/>
                <w:szCs w:val="24"/>
                <w:highlight w:val="none"/>
                <w:lang w:val="en-US" w:eastAsia="zh-CN"/>
              </w:rPr>
              <w:t xml:space="preserve">，菜品由院方统一制定价格</w:t>
            </w:r>
            <w:r/>
          </w:p>
        </w:tc>
      </w:tr>
      <w:tr>
        <w:trPr>
          <w:jc w:val="cente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8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病员食堂板块：服务费占病员食堂总营收的固定比例</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5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311"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s="仿宋"/>
                <w:color w:val="auto"/>
                <w:sz w:val="24"/>
                <w:highlight w:val="none"/>
              </w:rPr>
              <w:t xml:space="preserve">含一楼餐厅、病房病员订餐送餐、病员零点餐、定制营养餐全流程服务</w:t>
            </w:r>
            <w:r>
              <w:rPr>
                <w:rFonts w:hint="eastAsia" w:ascii="宋体" w:hAnsi="宋体" w:cs="仿宋"/>
                <w:color w:val="auto"/>
                <w:sz w:val="24"/>
                <w:highlight w:val="none"/>
                <w:lang w:val="en-US" w:eastAsia="zh-CN"/>
              </w:rPr>
              <w:t xml:space="preserve">及其他服务</w:t>
            </w:r>
            <w:r>
              <w:rPr>
                <w:rFonts w:hint="eastAsia" w:ascii="宋体" w:hAnsi="宋体" w:eastAsia="宋体" w:cs="宋体"/>
                <w:color w:val="auto"/>
                <w:sz w:val="24"/>
                <w:szCs w:val="24"/>
                <w:highlight w:val="none"/>
                <w:lang w:val="en-US" w:eastAsia="zh-CN"/>
              </w:rPr>
              <w:t xml:space="preserve">，菜品价格由供应商自主制定、报</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US" w:eastAsia="zh-CN"/>
              </w:rPr>
              <w:t xml:space="preserve">方审核后执行</w:t>
            </w:r>
            <w:r/>
          </w:p>
        </w:tc>
      </w:tr>
      <w:tr>
        <w:trPr>
          <w:jc w:val="cente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8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年度固定服务费基准总额</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53" w:type="dxa"/>
            <w:vAlign w:val="center"/>
            <w:textDirection w:val="lrTb"/>
            <w:noWrap w:val="false"/>
          </w:tcPr>
          <w:p>
            <w:pPr>
              <w:jc w:val="center"/>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311"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本报价为供应商主要收入来源，无任何附加收费、隐形费用</w:t>
            </w:r>
            <w:r/>
          </w:p>
        </w:tc>
      </w:tr>
      <w:tr>
        <w:trPr>
          <w:jc w:val="cente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8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食堂较 2025 年度实现减亏部分的分成比例</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5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u w:val="single"/>
                <w:lang w:val="en-US" w:eastAsia="zh-CN"/>
              </w:rPr>
              <w:t xml:space="preserve"> 70 </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u w:val="single"/>
                <w:lang w:val="en-US" w:eastAsia="zh-CN"/>
              </w:rPr>
              <w:t xml:space="preserve"> 30 </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311"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减亏金额以院方财务最终核算数据为准；2. 分成金额于年度财务核算完成后一次性支付；3. 若年度未实现减亏，供应商不参与分成</w:t>
            </w:r>
            <w:r/>
          </w:p>
        </w:tc>
      </w:tr>
    </w:tbl>
    <w:p>
      <w:pPr>
        <w:pStyle w:val="1127"/>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883"/>
        <w:ind w:firstLine="482"/>
        <w:spacing w:line="360" w:lineRule="auto"/>
        <w:rPr>
          <w:rFonts w:cs="宋体"/>
          <w:b/>
          <w:color w:val="auto"/>
          <w:sz w:val="24"/>
          <w:szCs w:val="24"/>
          <w:highlight w:val="none"/>
        </w:rPr>
      </w:pPr>
      <w:r>
        <w:rPr>
          <w:rFonts w:cs="宋体"/>
          <w:b/>
          <w:color w:val="auto"/>
          <w:sz w:val="24"/>
          <w:szCs w:val="24"/>
          <w:highlight w:val="none"/>
        </w:rPr>
        <w:t xml:space="preserve">第三条 合同履行期限</w:t>
      </w:r>
      <w:r/>
    </w:p>
    <w:p>
      <w:pPr>
        <w:numPr>
          <w:ilvl w:val="0"/>
          <w:numId w:val="0"/>
        </w:num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本项目服务总期限3年，</w:t>
      </w:r>
      <w:r>
        <w:rPr>
          <w:rFonts w:hint="eastAsia" w:ascii="宋体" w:hAnsi="宋体"/>
          <w:color w:val="auto"/>
          <w:sz w:val="24"/>
          <w:highlight w:val="none"/>
        </w:rPr>
        <w:t xml:space="preserve">合同总价款不得超过本项目预算总额。当合同累计实际支付金额达到采购预算总额时，本合同即时自动终止；若</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年服务期满但预算金额尚未使用完毕，合同到期自动终止。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本项目服务期限为</w:t>
      </w:r>
      <w:bookmarkStart w:id="825" w:name="OLE_LINK5"/>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w:t>
      </w:r>
      <w:r>
        <w:rPr>
          <w:rFonts w:hint="eastAsia" w:ascii="宋体" w:hAnsi="宋体" w:cs="宋体"/>
          <w:color w:val="auto"/>
          <w:sz w:val="24"/>
          <w:highlight w:val="none"/>
          <w:u w:val="single"/>
        </w:rPr>
        <w:t xml:space="preserve"> </w:t>
      </w:r>
      <w:bookmarkEnd w:id="825"/>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日），合同一年一签。本合同履行期限自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日。其中：前三个月为试用期，试用期满须经甲方考核，考核不合格，甲方有权解除合同。每年合同期满经甲方考核合格后续签下一年度合同。</w:t>
      </w:r>
      <w:r/>
    </w:p>
    <w:p>
      <w:pPr>
        <w:pStyle w:val="883"/>
        <w:ind w:firstLine="482"/>
        <w:spacing w:line="360" w:lineRule="auto"/>
        <w:rPr>
          <w:rFonts w:cs="宋体"/>
          <w:b/>
          <w:color w:val="auto"/>
          <w:sz w:val="24"/>
          <w:szCs w:val="24"/>
          <w:highlight w:val="none"/>
        </w:rPr>
      </w:pPr>
      <w:r>
        <w:rPr>
          <w:rFonts w:cs="宋体"/>
          <w:b/>
          <w:color w:val="auto"/>
          <w:sz w:val="24"/>
          <w:szCs w:val="24"/>
          <w:highlight w:val="none"/>
        </w:rPr>
        <w:t xml:space="preserve">第四条 组成本合同的有关文件</w:t>
      </w:r>
      <w:r/>
    </w:p>
    <w:p>
      <w:pPr>
        <w:pStyle w:val="883"/>
        <w:ind w:firstLine="484"/>
        <w:spacing w:line="360" w:lineRule="auto"/>
        <w:rPr>
          <w:rFonts w:cs="宋体"/>
          <w:color w:val="auto"/>
          <w:sz w:val="24"/>
          <w:szCs w:val="24"/>
          <w:highlight w:val="none"/>
        </w:rPr>
      </w:pPr>
      <w:r>
        <w:rPr>
          <w:rFonts w:cs="宋体"/>
          <w:color w:val="auto"/>
          <w:sz w:val="24"/>
          <w:szCs w:val="24"/>
          <w:highlight w:val="none"/>
        </w:rPr>
        <w:t xml:space="preserve">下列与本次招标活动有关的文件及有关附件是本合同不可分割的组成部分，与本合同具有同等法律效力，这些文件包括但不限于：</w:t>
      </w:r>
      <w:r/>
    </w:p>
    <w:p>
      <w:pPr>
        <w:pStyle w:val="883"/>
        <w:ind w:firstLine="484"/>
        <w:spacing w:line="360" w:lineRule="auto"/>
        <w:rPr>
          <w:rFonts w:cs="宋体"/>
          <w:color w:val="auto"/>
          <w:sz w:val="24"/>
          <w:szCs w:val="24"/>
          <w:highlight w:val="none"/>
        </w:rPr>
      </w:pPr>
      <w:r>
        <w:rPr>
          <w:rFonts w:cs="宋体"/>
          <w:color w:val="auto"/>
          <w:sz w:val="24"/>
          <w:szCs w:val="24"/>
          <w:highlight w:val="none"/>
        </w:rPr>
        <w:t xml:space="preserve">（1）招标文件（编号：   ）     （2）乙方提供的投标文件； </w:t>
      </w:r>
      <w:r/>
    </w:p>
    <w:p>
      <w:pPr>
        <w:pStyle w:val="883"/>
        <w:ind w:firstLine="484"/>
        <w:spacing w:line="360" w:lineRule="auto"/>
        <w:rPr>
          <w:rFonts w:cs="宋体"/>
          <w:color w:val="auto"/>
          <w:sz w:val="24"/>
          <w:szCs w:val="24"/>
          <w:highlight w:val="none"/>
        </w:rPr>
      </w:pPr>
      <w:r>
        <w:rPr>
          <w:rFonts w:cs="宋体"/>
          <w:color w:val="auto"/>
          <w:sz w:val="24"/>
          <w:szCs w:val="24"/>
          <w:highlight w:val="none"/>
        </w:rPr>
        <w:t xml:space="preserve">（3）中标通知书；              （4）甲乙双方商定的其他文件等。</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第五条 合同款结算及支付</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3.付款方式：</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管理服务费用按月支付，每月月初由</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带领</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共同对</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上月度的工作进行考核，考核低于80分，则当月考核不合格，扣除相应的罚款，扣除后的其余费用，</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在收到中标单位发票后20个工作日内支付。</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第六条 双方权利义务</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一、甲方责、权、利</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1、监督指导乙方按照《食品卫生法》及相关规定和用餐需求。</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2、负责食堂的一切对外协调事宜，提供有效卫生许可证等相关证照。</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3、承担食堂所有食品原材料及调味料的采购，支付水电气、设备维修等费用。</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4、按规定支付乙方服务费用，为乙方派出人员提供管理办公条件、更衣室。</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5、对乙方管理工作进行定期评估，清点乙方工作人数。如乙方有缺员，甲方将要求乙方在合理的时间内补充人员，否则将扣除相应的人员工资。对乙方管理不当的行为，甲方有权制止并要求撤换相应人员。</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6、监督并参与乙方的管理。</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二、乙方责、权、利</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1、根据法律法规，结合实际情况制定相应的食堂管理制度，在协议期间享有对甲方食堂的全面管理权。</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2、按照协议要求对甲方食堂实施全面管理，确保食堂的卫生、服务质量，自觉接受甲方及政府饮食卫生主管部门的检查监督。</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3、按时供应早、中、晚餐，做到甲方全体职工、病员满意。</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4、根据日常运转管理需要，合理申请应由甲方负责采购的设施设备及其他物品。</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5、对设施设备在运行中出现的问题及时向甲方报告，要求维修。</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6、配合甲方做好对采购食品原料的质量验收及记录。</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7、因管理不善发生食物中毒事故的，由此产生的经济、法律责任由乙方承担。</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8、严格按照《民法典》规定，确保职工的相关权益。如发生债权、债务纠纷和工伤等责任事故，均由乙方承担。</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9、做好工作范围内及就餐区的清洁卫生工作，做到窗明几净；就餐用具严格清洗消毒；剩饭剩菜及时处置；餐饮垃圾及时装袋密封送至垃圾房，做到工完场清、日产日清。</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10、自觉接受甲方的监督指导，对存在问题及时整改。</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11、严格执行安全责任制和安全生产操作程序，如因违规操作导致安全生产事故的 发生，一切后果由乙方承担。如因人为失职导致食堂设备设施损坏的，由乙方承担赔偿 责任后追偿。</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12、根据食堂实际工作需要，在甲方认可后，由乙方拟定人员组织结构和招聘人员。</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13、从业人员的工资、福利、培训、体检、社会保险、公积金、服装等费用，由乙方负责。乙方负责派出工作人员的培训，达到上岗标准要求。</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14、乙方派出的食堂负责人应得到甲方的认可，甲方如不满意，有权要求乙方重新指派。</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w:t>
      </w: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条 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1.如乙方不能按约定进行服务的，甲方有权解除合同，有权要求乙方按照合同总价5%的标准支付违约金，解除合同的通知自发出之日生效。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2.甲方未按合同规定的期限向乙方支付货款的，每逾期1天甲方向乙方偿付欠款总额的5‰滞纳金，但累计滞纳金总额不超过欠款总额的5%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3.乙方未按本合同的规定和“服务承诺”提供伴随服务的，甲方有权提前解除本合同，同时乙方应按合同总价款的5 %向甲方承担违约责任。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6.其他未尽事宜，以《民法典》等有关法律法规规定为准，无相关规定的，双方协商解决。</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第八条 合同的变更和终止</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第九条 合同的转让</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第十条 不可抗力</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第十一条 争议的解决</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 ）种方式解决争议：</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第十二条 诚实信用 </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乙方应诚实信用，严格按照竞争性磋商文件要求和磋商承诺履行合同，不向甲方进行商业贿赂或者提供不正当利益。</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w:t>
      </w:r>
      <w:r>
        <w:rPr>
          <w:rFonts w:hint="eastAsia" w:ascii="宋体" w:hAnsi="宋体" w:cs="宋体"/>
          <w:b/>
          <w:color w:val="auto"/>
          <w:sz w:val="24"/>
          <w:highlight w:val="none"/>
          <w:lang w:val="en-US" w:eastAsia="zh-CN"/>
        </w:rPr>
        <w:t xml:space="preserve">十三</w:t>
      </w:r>
      <w:r>
        <w:rPr>
          <w:rFonts w:hint="eastAsia" w:ascii="宋体" w:hAnsi="宋体" w:cs="宋体"/>
          <w:b/>
          <w:color w:val="auto"/>
          <w:sz w:val="24"/>
          <w:highlight w:val="none"/>
        </w:rPr>
        <w:t xml:space="preserve">条 合同生效及其他</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2.本合同一式伍份，甲乙双方各执贰份，代理机构执壹份存档。</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甲方（盖公章）：                    乙方（盖公章）：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                            代理人：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传真：</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银行帐号：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签订日期：</w:t>
      </w:r>
      <w:r/>
    </w:p>
    <w:p>
      <w:pPr>
        <w:ind w:firstLine="480"/>
        <w:jc w:val="left"/>
        <w:spacing w:after="120"/>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ascii="宋体" w:hAnsi="宋体" w:cs="宋体"/>
          <w:b/>
          <w:color w:val="auto"/>
          <w:sz w:val="24"/>
          <w:highlight w:val="none"/>
        </w:rPr>
      </w:pPr>
      <w:r>
        <w:rPr>
          <w:rFonts w:hint="eastAsia" w:ascii="宋体" w:hAnsi="宋体" w:eastAsia="宋体"/>
          <w:b/>
          <w:bCs/>
          <w:color w:val="auto"/>
          <w:sz w:val="24"/>
          <w:szCs w:val="24"/>
          <w:highlight w:val="none"/>
        </w:rPr>
        <w:t xml:space="preserve">注：</w:t>
      </w:r>
      <w:r>
        <w:rPr>
          <w:rFonts w:hint="eastAsia" w:ascii="宋体" w:hAnsi="宋体" w:eastAsia="宋体"/>
          <w:b w:val="0"/>
          <w:color w:val="auto"/>
          <w:sz w:val="24"/>
          <w:szCs w:val="24"/>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 </w:t>
      </w: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             </w:t>
      </w:r>
      <w:r/>
    </w:p>
    <w:p>
      <w:pPr>
        <w:pStyle w:val="860"/>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899"/>
        <w:ind w:firstLine="480"/>
        <w:spacing w:after="319" w:afterAutospacing="0" w:line="360" w:lineRule="auto"/>
        <w:rPr>
          <w:color w:val="auto"/>
          <w:highlight w:val="none"/>
        </w:rPr>
      </w:pPr>
      <w:r>
        <w:rPr>
          <w:rFonts w:hint="eastAsia"/>
          <w:color w:val="auto"/>
          <w:highlight w:val="none"/>
        </w:rPr>
        <w:t xml:space="preserve">招标单位（甲方）：                     中标单位（乙方）：</w:t>
      </w:r>
      <w:r/>
    </w:p>
    <w:p>
      <w:pPr>
        <w:pStyle w:val="899"/>
        <w:ind w:firstLine="480"/>
        <w:spacing w:before="0" w:beforeAutospacing="0" w:after="0" w:afterAutospacing="0" w:line="312"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899"/>
        <w:ind w:firstLine="480"/>
        <w:spacing w:before="0" w:beforeAutospacing="0" w:after="0" w:afterAutospacing="0" w:line="312"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899"/>
        <w:ind w:firstLine="480"/>
        <w:spacing w:before="0" w:beforeAutospacing="0" w:after="0" w:afterAutospacing="0" w:line="312"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899"/>
        <w:ind w:firstLine="480"/>
        <w:spacing w:before="0" w:beforeAutospacing="0" w:after="0" w:afterAutospacing="0" w:line="312"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899"/>
        <w:ind w:firstLine="480"/>
        <w:spacing w:before="0" w:beforeAutospacing="0" w:after="0" w:afterAutospacing="0" w:line="312"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899"/>
        <w:ind w:firstLine="480"/>
        <w:spacing w:before="0" w:beforeAutospacing="0" w:after="0" w:afterAutospacing="0" w:line="312"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899"/>
        <w:ind w:firstLine="480"/>
        <w:spacing w:before="0" w:beforeAutospacing="0" w:after="0" w:afterAutospacing="0" w:line="312"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899"/>
        <w:ind w:firstLine="480"/>
        <w:spacing w:before="0" w:beforeAutospacing="0" w:after="0" w:afterAutospacing="0" w:line="312"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899"/>
        <w:ind w:firstLine="480"/>
        <w:spacing w:before="0" w:beforeAutospacing="0" w:after="0" w:afterAutospacing="0" w:line="312"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899"/>
        <w:ind w:firstLine="720"/>
        <w:spacing w:before="0" w:beforeAutospacing="0" w:after="0" w:afterAutospacing="0"/>
        <w:rPr>
          <w:bCs/>
          <w:color w:val="auto"/>
          <w:highlight w:val="none"/>
        </w:rPr>
      </w:pPr>
      <w:r>
        <w:rPr>
          <w:bCs/>
          <w:color w:val="auto"/>
          <w:highlight w:val="none"/>
        </w:rPr>
      </w:r>
      <w:r/>
    </w:p>
    <w:p>
      <w:pPr>
        <w:pStyle w:val="899"/>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899"/>
        <w:spacing w:before="0" w:beforeAutospacing="0" w:after="0" w:afterAutospacing="0"/>
        <w:rPr>
          <w:bCs/>
          <w:color w:val="auto"/>
          <w:highlight w:val="none"/>
        </w:rPr>
      </w:pPr>
      <w:r>
        <w:rPr>
          <w:rFonts w:hint="eastAsia"/>
          <w:bCs/>
          <w:color w:val="auto"/>
          <w:highlight w:val="none"/>
        </w:rPr>
        <w:t xml:space="preserve">             </w:t>
      </w:r>
      <w:r/>
    </w:p>
    <w:p>
      <w:pPr>
        <w:pStyle w:val="899"/>
        <w:ind w:firstLine="1920"/>
        <w:spacing w:before="0" w:beforeAutospacing="0" w:after="0" w:afterAutospacing="0"/>
        <w:rPr>
          <w:color w:val="auto"/>
          <w:highlight w:val="none"/>
        </w:rPr>
      </w:pPr>
      <w:r>
        <w:rPr>
          <w:rFonts w:hint="eastAsia"/>
          <w:bCs/>
          <w:color w:val="auto"/>
          <w:highlight w:val="none"/>
        </w:rPr>
        <w:t xml:space="preserve"> 年   月   日                            年   月   日</w:t>
      </w:r>
      <w:r/>
    </w:p>
    <w:p>
      <w:pP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26" w:name="_Toc25594"/>
      <w:r>
        <w:rPr>
          <w:rFonts w:ascii="宋体" w:hAnsi="宋体"/>
          <w:b/>
          <w:color w:val="auto"/>
          <w:sz w:val="36"/>
          <w:szCs w:val="36"/>
          <w:highlight w:val="none"/>
        </w:rPr>
        <w:br w:type="page" w:clear="all"/>
      </w:r>
      <w:r>
        <w:rPr>
          <w:rFonts w:ascii="宋体" w:hAnsi="宋体"/>
          <w:b/>
          <w:color w:val="auto"/>
          <w:sz w:val="36"/>
          <w:szCs w:val="36"/>
          <w:highlight w:val="none"/>
        </w:rPr>
        <w:t xml:space="preserve">第七章   投标文件格式</w:t>
      </w:r>
      <w:bookmarkEnd w:id="826"/>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b/>
          <w:color w:val="auto"/>
          <w:sz w:val="30"/>
          <w:szCs w:val="20"/>
          <w:highlight w:val="none"/>
        </w:rPr>
      </w:pPr>
      <w:r>
        <w:rPr>
          <w:rFonts w:ascii="宋体" w:hAnsi="宋体"/>
          <w:color w:val="auto"/>
          <w:sz w:val="24"/>
          <w:highlight w:val="none"/>
        </w:rPr>
        <w:br w:type="page" w:clear="all"/>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861"/>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871"/>
        <w:ind w:firstLine="480"/>
        <w:spacing w:line="460" w:lineRule="exact"/>
        <w:rPr>
          <w:rFonts w:hAnsi="宋体"/>
          <w:color w:val="auto"/>
          <w:highlight w:val="none"/>
        </w:rPr>
      </w:pPr>
      <w:r>
        <w:rPr>
          <w:rFonts w:hAnsi="宋体"/>
          <w:color w:val="auto"/>
          <w:highlight w:val="none"/>
        </w:rPr>
      </w:r>
      <w:r/>
    </w:p>
    <w:p>
      <w:pPr>
        <w:pStyle w:val="871"/>
        <w:ind w:firstLine="480"/>
        <w:spacing w:line="460" w:lineRule="exact"/>
        <w:rPr>
          <w:rFonts w:hAnsi="宋体"/>
          <w:color w:val="auto"/>
          <w:highlight w:val="none"/>
        </w:rPr>
      </w:pPr>
      <w:r>
        <w:rPr>
          <w:rFonts w:hint="eastAsia" w:hAnsi="宋体"/>
          <w:color w:val="auto"/>
          <w:highlight w:val="none"/>
        </w:rPr>
        <w:t xml:space="preserve">致：常州盈泰招标有限公司</w:t>
      </w:r>
      <w:r/>
    </w:p>
    <w:p>
      <w:pPr>
        <w:pStyle w:val="871"/>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871"/>
        <w:ind w:firstLine="480"/>
        <w:spacing w:line="460" w:lineRule="exact"/>
        <w:rPr>
          <w:rFonts w:hAnsi="宋体"/>
          <w:color w:val="auto"/>
          <w:highlight w:val="none"/>
        </w:rPr>
      </w:pPr>
      <w:r>
        <w:rPr>
          <w:rFonts w:hAnsi="宋体"/>
          <w:color w:val="auto"/>
          <w:highlight w:val="none"/>
        </w:rPr>
      </w:r>
      <w:r/>
    </w:p>
    <w:p>
      <w:pPr>
        <w:pStyle w:val="871"/>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871"/>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871"/>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871"/>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871"/>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871"/>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r/>
    </w:p>
    <w:p>
      <w:pPr>
        <w:pStyle w:val="871"/>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871"/>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871"/>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871"/>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871"/>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71"/>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71"/>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71"/>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871"/>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871"/>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871"/>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871"/>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871"/>
        <w:ind w:firstLine="480"/>
        <w:spacing w:line="460" w:lineRule="exact"/>
        <w:rPr>
          <w:rFonts w:hAnsi="宋体"/>
          <w:b/>
          <w:bCs/>
          <w:color w:val="auto"/>
          <w:highlight w:val="none"/>
        </w:rPr>
      </w:pPr>
      <w:r>
        <w:rPr>
          <w:rFonts w:hint="eastAsia" w:hAnsi="宋体"/>
          <w:b/>
          <w:bCs/>
          <w:color w:val="auto"/>
          <w:highlight w:val="none"/>
        </w:rPr>
        <w:t xml:space="preserve">十、我单位法定代表人的社保缴纳单位为： </w:t>
      </w:r>
      <w:r>
        <w:rPr>
          <w:rFonts w:hint="eastAsia" w:hAnsi="宋体"/>
          <w:b/>
          <w:bCs/>
          <w:color w:val="auto"/>
          <w:highlight w:val="none"/>
          <w:u w:val="single"/>
        </w:rPr>
        <w:t xml:space="preserve">       </w:t>
      </w:r>
      <w:r>
        <w:rPr>
          <w:rFonts w:hint="eastAsia" w:hAnsi="宋体"/>
          <w:b/>
          <w:bCs/>
          <w:color w:val="auto"/>
          <w:highlight w:val="none"/>
        </w:rPr>
        <w:t xml:space="preserve">。（请投标人如实填写）</w:t>
      </w:r>
      <w:r/>
    </w:p>
    <w:p>
      <w:pPr>
        <w:pStyle w:val="871"/>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871"/>
        <w:ind w:firstLine="480"/>
        <w:spacing w:line="460" w:lineRule="exact"/>
        <w:rPr>
          <w:rFonts w:hAnsi="宋体"/>
          <w:color w:val="auto"/>
          <w:highlight w:val="none"/>
        </w:rPr>
      </w:pPr>
      <w:r>
        <w:rPr>
          <w:rFonts w:hAnsi="宋体"/>
          <w:color w:val="auto"/>
          <w:highlight w:val="none"/>
        </w:rPr>
      </w:r>
      <w:r/>
    </w:p>
    <w:p>
      <w:pPr>
        <w:pStyle w:val="871"/>
        <w:ind w:firstLine="480"/>
        <w:spacing w:line="460" w:lineRule="exact"/>
        <w:rPr>
          <w:rFonts w:hAnsi="宋体"/>
          <w:color w:val="auto"/>
          <w:highlight w:val="none"/>
        </w:rPr>
      </w:pPr>
      <w:r>
        <w:rPr>
          <w:rFonts w:hAnsi="宋体"/>
          <w:color w:val="auto"/>
          <w:highlight w:val="none"/>
        </w:rPr>
      </w:r>
      <w:r/>
    </w:p>
    <w:p>
      <w:pPr>
        <w:pStyle w:val="871"/>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871"/>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871"/>
        <w:ind w:firstLine="3600"/>
        <w:spacing w:line="460" w:lineRule="exact"/>
        <w:rPr>
          <w:rFonts w:hAnsi="宋体"/>
          <w:color w:val="auto"/>
          <w:highlight w:val="none"/>
        </w:rPr>
      </w:pPr>
      <w:r>
        <w:rPr>
          <w:rFonts w:hint="eastAsia" w:hAnsi="宋体"/>
          <w:color w:val="auto"/>
          <w:highlight w:val="none"/>
        </w:rPr>
        <w:t xml:space="preserve">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投标人承诺不实的，依据《政府采购法》第七十七条“提供虚假材料谋取中标、成交的”有关规定予以处理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5" w:h="16838" w:orient="portrait"/>
          <w:pgMar w:top="1440" w:right="1803" w:bottom="1440" w:left="1803" w:header="850" w:footer="992" w:gutter="0"/>
          <w:cols w:num="1" w:sep="0" w:space="720" w:equalWidth="1"/>
          <w:docGrid w:linePitch="360"/>
        </w:sect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2 落实政府采购政策需满足的资格要求</w:t>
      </w:r>
      <w:r>
        <w:rPr>
          <w:rFonts w:hint="eastAsia" w:ascii="宋体" w:hAnsi="宋体"/>
          <w:color w:val="auto"/>
          <w:sz w:val="24"/>
          <w:szCs w:val="20"/>
          <w:highlight w:val="none"/>
        </w:rPr>
        <w:t xml:space="preserve">：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3 本项目的特定资格要求</w:t>
      </w:r>
      <w:r/>
    </w:p>
    <w:p>
      <w:pPr>
        <w:spacing w:line="360" w:lineRule="auto"/>
        <w:tabs>
          <w:tab w:val="left" w:pos="900" w:leader="none"/>
          <w:tab w:val="left" w:pos="1134" w:leader="none"/>
          <w:tab w:val="left" w:pos="1589" w:leader="none"/>
          <w:tab w:val="left" w:pos="5521" w:leader="none"/>
        </w:tabs>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900" w:leader="none"/>
          <w:tab w:val="left" w:pos="1134" w:leader="none"/>
          <w:tab w:val="left" w:pos="1589" w:leader="none"/>
          <w:tab w:val="left" w:pos="5521" w:leader="none"/>
        </w:tabs>
        <w:rPr>
          <w:rFonts w:hint="eastAsia" w:ascii="宋体" w:hAnsi="宋体"/>
          <w:color w:val="auto"/>
          <w:sz w:val="24"/>
          <w:szCs w:val="20"/>
          <w:highlight w:val="none"/>
        </w:rPr>
      </w:pPr>
      <w:r>
        <w:rPr>
          <w:rFonts w:ascii="宋体" w:hAnsi="宋体"/>
          <w:color w:val="auto"/>
          <w:sz w:val="24"/>
          <w:szCs w:val="20"/>
          <w:highlight w:val="none"/>
        </w:rPr>
        <w:t xml:space="preserve">3-2其他特定资格要求</w:t>
      </w:r>
      <w:r>
        <w:rPr>
          <w:rFonts w:hint="eastAsia" w:ascii="宋体" w:hAnsi="宋体"/>
          <w:color w:val="auto"/>
          <w:sz w:val="24"/>
          <w:szCs w:val="20"/>
          <w:highlight w:val="none"/>
        </w:rPr>
        <w:t xml:space="preserve">：</w:t>
      </w:r>
      <w:r/>
    </w:p>
    <w:p>
      <w:pPr>
        <w:spacing w:line="360" w:lineRule="auto"/>
        <w:rPr>
          <w:rFonts w:ascii="宋体" w:hAnsi="宋体"/>
          <w:color w:val="auto"/>
          <w:sz w:val="24"/>
          <w:szCs w:val="20"/>
          <w:highlight w:val="none"/>
        </w:rPr>
        <w:outlineLvl w:val="2"/>
      </w:pPr>
      <w:r>
        <w:rPr>
          <w:rFonts w:hint="eastAsia" w:ascii="宋体" w:hAnsi="宋体"/>
          <w:b/>
          <w:bCs/>
          <w:color w:val="auto"/>
          <w:sz w:val="24"/>
          <w:szCs w:val="20"/>
          <w:highlight w:val="none"/>
        </w:rPr>
        <w:t xml:space="preserve">投标人须具有有效的《食品经营许可证》。</w:t>
      </w:r>
      <w:r/>
    </w:p>
    <w:p>
      <w:pPr>
        <w:jc w:val="center"/>
        <w:widowControl/>
        <w:rPr>
          <w:rFonts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 xml:space="preserve">二、商务技术文件格式</w:t>
      </w:r>
      <w:bookmarkStart w:id="827" w:name="_Toc150480794"/>
      <w:r/>
      <w:bookmarkStart w:id="828" w:name="_Toc150774761"/>
      <w:r/>
      <w:bookmarkStart w:id="829" w:name="_Toc520356217"/>
      <w:r/>
      <w:bookmarkStart w:id="830" w:name="_Toc480942349"/>
      <w:r/>
      <w:bookmarkStart w:id="831" w:name="_Toc127151556"/>
      <w:r/>
      <w:bookmarkStart w:id="832" w:name="_Toc226965829"/>
      <w:r/>
      <w:bookmarkStart w:id="833" w:name="_Ref467988698"/>
      <w:r/>
      <w:bookmarkStart w:id="834" w:name="_Toc142311058"/>
      <w:r/>
      <w:bookmarkStart w:id="835" w:name="_Toc226965746"/>
      <w:r/>
      <w:bookmarkStart w:id="836" w:name="_Toc226337252"/>
      <w:r/>
      <w:bookmarkStart w:id="837" w:name="_Toc226309800"/>
      <w:r/>
      <w:bookmarkStart w:id="838" w:name="_Toc195842921"/>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highlight w:val="none"/>
        </w:rPr>
        <w:t xml:space="preserve">1</w:t>
      </w:r>
      <w:r>
        <w:rPr>
          <w:rFonts w:ascii="宋体" w:hAnsi="宋体"/>
          <w:color w:val="auto"/>
          <w:sz w:val="24"/>
          <w:szCs w:val="20"/>
          <w:highlight w:val="none"/>
        </w:rPr>
        <w:t xml:space="preserve">  </w:t>
      </w:r>
      <w:r>
        <w:rPr>
          <w:rFonts w:ascii="宋体" w:hAnsi="宋体"/>
          <w:color w:val="auto"/>
          <w:sz w:val="24"/>
          <w:highlight w:val="none"/>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 xml:space="preserve">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ascii="宋体" w:hAnsi="宋体"/>
          <w:color w:val="auto"/>
          <w:sz w:val="24"/>
          <w:highlight w:val="none"/>
        </w:rPr>
      </w:pPr>
      <w:r/>
      <w:bookmarkStart w:id="839" w:name="_Hlt520355938"/>
      <w:r/>
      <w:bookmarkEnd w:id="839"/>
      <w:r/>
      <w:bookmarkStart w:id="840" w:name="_Hlt520356243"/>
      <w:r/>
      <w:bookmarkEnd w:id="840"/>
      <w:r>
        <w:rPr>
          <w:rFonts w:ascii="宋体" w:hAnsi="宋体"/>
          <w:color w:val="auto"/>
          <w:sz w:val="24"/>
          <w:highlight w:val="none"/>
        </w:rPr>
        <w:br w:type="page" w:clear="all"/>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法定代表人资格证明书</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870"/>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6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投标人为自然人的情形，可不提供本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3  政府采购投标人信用承诺书</w:t>
      </w:r>
      <w:r>
        <w:rPr>
          <w:rFonts w:ascii="宋体" w:hAnsi="宋体"/>
          <w:color w:val="auto"/>
          <w:sz w:val="24"/>
          <w:szCs w:val="20"/>
          <w:highlight w:val="none"/>
        </w:rPr>
        <w:t xml:space="preserve">（实质性格式）</w:t>
      </w:r>
      <w:r/>
    </w:p>
    <w:p>
      <w:pPr>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政府采购投标人信用承诺书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09"/>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ind w:left="420"/>
        <w:spacing w:line="360" w:lineRule="auto"/>
        <w:tabs>
          <w:tab w:val="left" w:pos="5580" w:leader="none"/>
        </w:tabs>
        <w:rPr>
          <w:rFonts w:ascii="宋体" w:hAnsi="宋体"/>
          <w:color w:val="auto"/>
          <w:sz w:val="24"/>
          <w:szCs w:val="20"/>
          <w:highlight w:val="none"/>
        </w:rPr>
      </w:pPr>
      <w:r/>
      <w:bookmarkStart w:id="841" w:name="_Hlt520271212"/>
      <w:r/>
      <w:bookmarkEnd w:id="841"/>
      <w:r/>
      <w:bookmarkStart w:id="842" w:name="_Hlt520274407"/>
      <w:r/>
      <w:bookmarkEnd w:id="842"/>
      <w:r/>
      <w:bookmarkStart w:id="843" w:name="_Hlt520274121"/>
      <w:r/>
      <w:bookmarkEnd w:id="843"/>
      <w:r/>
      <w:bookmarkStart w:id="844" w:name="_Hlt520343000"/>
      <w:r/>
      <w:bookmarkEnd w:id="844"/>
      <w:r/>
      <w:bookmarkStart w:id="845" w:name="_Hlt520274065"/>
      <w:r/>
      <w:bookmarkEnd w:id="845"/>
      <w:r/>
      <w:bookmarkStart w:id="846" w:name="_Hlt520273711"/>
      <w:r/>
      <w:bookmarkEnd w:id="846"/>
      <w:r/>
      <w:bookmarkStart w:id="847" w:name="_Hlt520343392"/>
      <w:r/>
      <w:bookmarkEnd w:id="847"/>
      <w:r/>
      <w:bookmarkStart w:id="848" w:name="_Hlt520355504"/>
      <w:r/>
      <w:bookmarkEnd w:id="848"/>
      <w:r/>
      <w:bookmarkStart w:id="849" w:name="_Hlt520350918"/>
      <w:r/>
      <w:bookmarkEnd w:id="849"/>
      <w:r/>
      <w:bookmarkStart w:id="850" w:name="_Hlt520274393"/>
      <w:r/>
      <w:bookmarkEnd w:id="850"/>
      <w:r/>
      <w:bookmarkStart w:id="851" w:name="_Toc480942350"/>
      <w:r/>
      <w:bookmarkStart w:id="852" w:name="_Toc195842922"/>
      <w:r/>
      <w:bookmarkStart w:id="853" w:name="_Toc305158899"/>
      <w:r/>
      <w:bookmarkStart w:id="854" w:name="_Toc150480795"/>
      <w:r/>
      <w:bookmarkStart w:id="855" w:name="_Toc226337253"/>
      <w:r/>
      <w:bookmarkStart w:id="856" w:name="_Toc264969247"/>
      <w:r/>
      <w:bookmarkStart w:id="857" w:name="_Toc265228395"/>
      <w:r/>
      <w:bookmarkStart w:id="858" w:name="_Ref467988705"/>
      <w:r/>
      <w:bookmarkStart w:id="859" w:name="_Toc226965830"/>
      <w:r/>
      <w:bookmarkStart w:id="860" w:name="_Toc127151557"/>
      <w:r/>
      <w:bookmarkStart w:id="861" w:name="_Toc226965747"/>
      <w:r/>
      <w:bookmarkStart w:id="862" w:name="_Toc520356218"/>
      <w:r/>
      <w:bookmarkStart w:id="863" w:name="_Toc305158825"/>
      <w:r/>
      <w:bookmarkStart w:id="864" w:name="_Toc142311059"/>
      <w:r/>
      <w:bookmarkStart w:id="865" w:name="_Toc226309801"/>
      <w:r/>
      <w:bookmarkStart w:id="866" w:name="_Toc150774762"/>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highlight w:val="none"/>
        </w:rPr>
        <w:t xml:space="preserve">4  投标人管理关系或控股关系信息情况表</w:t>
      </w:r>
      <w:r>
        <w:rPr>
          <w:color w:val="auto"/>
          <w:sz w:val="24"/>
          <w:szCs w:val="20"/>
          <w:highlight w:val="none"/>
        </w:rPr>
        <w:t xml:space="preserve">（实质性格式）</w:t>
      </w:r>
      <w:r/>
    </w:p>
    <w:p>
      <w:pPr>
        <w:spacing w:line="360" w:lineRule="auto"/>
        <w:rPr>
          <w:color w:val="auto"/>
          <w:sz w:val="24"/>
          <w:highlight w:val="none"/>
        </w:rPr>
        <w:outlineLvl w:val="0"/>
      </w:pPr>
      <w:r>
        <w:rPr>
          <w:color w:val="auto"/>
          <w:sz w:val="24"/>
          <w:highlight w:val="none"/>
        </w:rPr>
      </w:r>
      <w:r/>
    </w:p>
    <w:p>
      <w:pPr>
        <w:ind w:firstLine="560"/>
        <w:jc w:val="center"/>
        <w:spacing w:line="520" w:lineRule="exact"/>
        <w:rPr>
          <w:rFonts w:ascii="黑体" w:hAnsi="黑体" w:eastAsia="黑体"/>
          <w:b/>
          <w:color w:val="auto"/>
          <w:sz w:val="32"/>
          <w:szCs w:val="32"/>
          <w:highlight w:val="none"/>
        </w:rPr>
        <w:outlineLvl w:val="0"/>
      </w:pPr>
      <w:r/>
      <w:bookmarkStart w:id="867" w:name="_Toc25548"/>
      <w:r>
        <w:rPr>
          <w:rFonts w:hint="eastAsia" w:ascii="宋体" w:hAnsi="宋体" w:cs="宋体"/>
          <w:b/>
          <w:color w:val="auto"/>
          <w:sz w:val="28"/>
          <w:szCs w:val="28"/>
          <w:highlight w:val="none"/>
        </w:rPr>
        <w:t xml:space="preserve">投标人管理关系或控股关系信息情况表</w:t>
      </w:r>
      <w:bookmarkEnd w:id="867"/>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投标人名称：</w:t>
      </w:r>
      <w:r/>
    </w:p>
    <w:tbl>
      <w:tblPr>
        <w:tblStyle w:val="86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1836"/>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中进行勾选）</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□无直接控股、管理关系的关联企业</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□有直接控股、管理关系的关联企业，关联信息如下：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pageBreakBefore/>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9"/>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w:t>
            </w:r>
            <w:r>
              <w:rPr>
                <w:rFonts w:hint="eastAsia" w:ascii="宋体" w:hAnsi="宋体" w:cs="宋体"/>
                <w:color w:val="auto"/>
                <w:sz w:val="24"/>
                <w:highlight w:val="none"/>
                <w:lang w:val="en-US" w:eastAsia="zh-CN"/>
              </w:rPr>
              <w:t xml:space="preserve">成分</w:t>
            </w:r>
            <w:r>
              <w:rPr>
                <w:rFonts w:hint="eastAsia" w:ascii="宋体" w:hAnsi="宋体" w:cs="宋体"/>
                <w:color w:val="auto"/>
                <w:sz w:val="24"/>
                <w:highlight w:val="none"/>
              </w:rPr>
              <w:t xml:space="preserve">，对所提供信息的真实性、完整性、准确性负责。</w:t>
            </w:r>
            <w:r/>
          </w:p>
          <w:p>
            <w:pPr>
              <w:numPr>
                <w:ilvl w:val="0"/>
                <w:numId w:val="19"/>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自觉接受行政管理、监督部门、行业组织、社会公众的监督。</w:t>
            </w:r>
            <w:r/>
          </w:p>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法定代表人（签字名盖章）：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rPr>
          <w:color w:val="auto"/>
          <w:highlight w:val="none"/>
        </w:rPr>
      </w:pPr>
      <w:r>
        <w:rPr>
          <w:color w:val="auto"/>
          <w:highlight w:val="none"/>
        </w:rPr>
      </w:r>
      <w:r/>
    </w:p>
    <w:p>
      <w:pPr>
        <w:jc w:val="left"/>
        <w:widowControl/>
        <w:rPr>
          <w:rFonts w:hint="eastAsia" w:ascii="宋体" w:hAnsi="宋体" w:eastAsia="宋体" w:cs="Times New Roman"/>
          <w:color w:val="auto"/>
          <w:sz w:val="24"/>
          <w:szCs w:val="20"/>
          <w:highlight w:val="none"/>
        </w:rPr>
      </w:pPr>
      <w:r>
        <w:rPr>
          <w:rFonts w:hint="eastAsia" w:ascii="宋体" w:hAnsi="宋体"/>
          <w:color w:val="auto"/>
          <w:sz w:val="24"/>
          <w:szCs w:val="20"/>
          <w:highlight w:val="none"/>
        </w:rPr>
        <w:br w:type="page" w:clear="all"/>
      </w:r>
      <w:r>
        <w:rPr>
          <w:rFonts w:hint="eastAsia" w:ascii="宋体" w:hAnsi="宋体" w:eastAsia="宋体" w:cs="Times New Roman"/>
          <w:color w:val="auto"/>
          <w:sz w:val="24"/>
          <w:szCs w:val="20"/>
          <w:highlight w:val="none"/>
        </w:rPr>
        <w:t xml:space="preserve">5</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商务与服务承诺函</w:t>
      </w:r>
      <w:r/>
    </w:p>
    <w:p>
      <w:pPr>
        <w:ind w:firstLine="560"/>
        <w:jc w:val="center"/>
        <w:spacing w:line="52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商务与服务承诺函</w:t>
      </w:r>
      <w:r/>
    </w:p>
    <w:p>
      <w:pPr>
        <w:pStyle w:val="871"/>
        <w:ind w:left="0" w:firstLine="0"/>
        <w:spacing w:line="460" w:lineRule="exact"/>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 xml:space="preserve">致常州市第二人民医院：</w:t>
      </w:r>
      <w:r/>
    </w:p>
    <w:p>
      <w:pPr>
        <w:pStyle w:val="871"/>
        <w:ind w:firstLine="48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我单位已详细阅读并完全理解本项目所有要求、规则与约定，自愿作出以下不可撤销的承诺：</w:t>
      </w:r>
      <w:r/>
    </w:p>
    <w:p>
      <w:pPr>
        <w:pStyle w:val="871"/>
        <w:ind w:firstLine="48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1、</w:t>
      </w:r>
      <w:r>
        <w:rPr>
          <w:rFonts w:hint="eastAsia" w:ascii="宋体" w:hAnsi="宋体" w:eastAsia="宋体" w:cs="Times New Roman"/>
          <w:color w:val="auto"/>
          <w:highlight w:val="none"/>
        </w:rPr>
        <w:t xml:space="preserve">我单位提交的所有报价、材料均真实、合法、有效，无任何虚假、隐瞒、伪造内容，若有不实，自愿承担所有法律责任与经济损失，院方有权取消我单位的合作资格。</w:t>
      </w:r>
      <w:r/>
    </w:p>
    <w:p>
      <w:pPr>
        <w:pStyle w:val="871"/>
        <w:ind w:firstLine="48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2、</w:t>
      </w:r>
      <w:r>
        <w:rPr>
          <w:rFonts w:hint="eastAsia" w:ascii="宋体" w:hAnsi="宋体" w:eastAsia="宋体" w:cs="Times New Roman"/>
          <w:color w:val="auto"/>
          <w:highlight w:val="none"/>
        </w:rPr>
        <w:t xml:space="preserve">我单位严格遵守本项目「自营 + 人力资源外包」核心模式，不越权行使食材采购等权限，严格执行院方制定的职工食堂菜品价格，不擅自加价、调整价格、降低菜品质量。</w:t>
      </w:r>
      <w:r/>
    </w:p>
    <w:p>
      <w:pPr>
        <w:pStyle w:val="871"/>
        <w:ind w:firstLine="48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3、</w:t>
      </w:r>
      <w:r>
        <w:rPr>
          <w:rFonts w:hint="eastAsia" w:ascii="宋体" w:hAnsi="宋体" w:eastAsia="宋体" w:cs="Times New Roman"/>
          <w:color w:val="auto"/>
          <w:highlight w:val="none"/>
        </w:rPr>
        <w:t xml:space="preserve">我单位严格遵守病员食堂定价规则：所有菜品价格均提前报院方审核，审核通过后再执行，不擅自使用未审核的价格、不临时调价；若出现价格违规情况，自愿接受院方的整改要求与考核处罚。</w:t>
      </w:r>
      <w:r/>
    </w:p>
    <w:p>
      <w:pPr>
        <w:pStyle w:val="871"/>
        <w:ind w:firstLine="48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4、</w:t>
      </w:r>
      <w:r>
        <w:rPr>
          <w:rFonts w:hint="eastAsia" w:ascii="宋体" w:hAnsi="宋体" w:eastAsia="宋体" w:cs="Times New Roman"/>
          <w:color w:val="auto"/>
          <w:highlight w:val="none"/>
        </w:rPr>
        <w:t xml:space="preserve">我单位严格落实本项目装修与设施改造约定：若需对食堂进行装修、改造，全部费用由我单位自行承担；合同到期、合作终止或提前解除时，所有装修、改造全部无偿归院方所有，我单位不拆除、不损坏、不带走，保证完好无损移交。</w:t>
      </w:r>
      <w:r/>
    </w:p>
    <w:p>
      <w:pPr>
        <w:pStyle w:val="871"/>
        <w:ind w:firstLine="48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5、</w:t>
      </w:r>
      <w:r>
        <w:rPr>
          <w:rFonts w:hint="eastAsia" w:ascii="宋体" w:hAnsi="宋体" w:eastAsia="宋体" w:cs="Times New Roman"/>
          <w:color w:val="auto"/>
          <w:highlight w:val="none"/>
        </w:rPr>
        <w:t xml:space="preserve">我单位严格落实本方案中的营收提升、降本增效、满意度提升各项举措，确保实现院方既定的减亏目标。</w:t>
      </w:r>
      <w:r/>
    </w:p>
    <w:p>
      <w:pPr>
        <w:pStyle w:val="871"/>
        <w:ind w:firstLine="48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6、</w:t>
      </w:r>
      <w:r>
        <w:rPr>
          <w:rFonts w:hint="eastAsia" w:ascii="宋体" w:hAnsi="宋体" w:eastAsia="宋体" w:cs="Times New Roman"/>
          <w:color w:val="auto"/>
          <w:highlight w:val="none"/>
        </w:rPr>
        <w:t xml:space="preserve">我单位保证所有派驻人员均符合餐饮服务行业健康管理要求，持证上岗、足额缴纳社保，严格遵守劳动法律法规，若发生劳动纠纷、安全事故，全部责任与损失由我单位自行承担。</w:t>
      </w:r>
      <w:r/>
    </w:p>
    <w:p>
      <w:pPr>
        <w:pStyle w:val="871"/>
        <w:ind w:firstLine="48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我单位严格遵守医院各项管理制度，接受院方的全程监督、考核与管理，配合院方做好财务核算、数据统计、物价监管等各项工作。</w:t>
      </w:r>
      <w:r/>
    </w:p>
    <w:p>
      <w:pPr>
        <w:pStyle w:val="871"/>
        <w:ind w:firstLine="480"/>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本承诺函自我单位盖章签字之日起生效，与报价文件、正式合作合同具有同等法律效力。</w:t>
      </w:r>
      <w:r/>
    </w:p>
    <w:p>
      <w:pPr>
        <w:pStyle w:val="871"/>
        <w:ind w:firstLine="3182"/>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pStyle w:val="871"/>
        <w:ind w:firstLine="3182"/>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承诺单位（盖章）：</w:t>
      </w:r>
      <w:r/>
    </w:p>
    <w:p>
      <w:pPr>
        <w:pStyle w:val="871"/>
        <w:ind w:firstLine="3182"/>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法定代表人 / 授权代表（签字）：</w:t>
      </w:r>
      <w:r/>
    </w:p>
    <w:p>
      <w:pPr>
        <w:pStyle w:val="871"/>
        <w:ind w:firstLine="3182"/>
        <w:spacing w:line="46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日期：2026 年 月 日</w:t>
      </w:r>
      <w:r/>
    </w:p>
    <w:p>
      <w:pPr>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br w:type="page" w:clear="all"/>
      </w:r>
      <w:r/>
    </w:p>
    <w:p>
      <w:pPr>
        <w:jc w:val="left"/>
        <w:widowControl/>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val="en-US" w:eastAsia="zh-CN"/>
        </w:rPr>
        <w:t xml:space="preserve">6  </w:t>
      </w:r>
      <w:r>
        <w:rPr>
          <w:rFonts w:ascii="宋体" w:hAnsi="宋体" w:eastAsia="宋体" w:cs="Times New Roman"/>
          <w:color w:val="auto"/>
          <w:sz w:val="24"/>
          <w:szCs w:val="20"/>
          <w:highlight w:val="none"/>
        </w:rPr>
        <w:t xml:space="preserve">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
    </w:p>
    <w:p>
      <w:pPr>
        <w:jc w:val="center"/>
        <w:spacing w:line="360" w:lineRule="exact"/>
        <w:rPr>
          <w:rFonts w:ascii="宋体" w:hAnsi="宋体"/>
          <w:b/>
          <w:color w:val="auto"/>
          <w:sz w:val="36"/>
          <w:szCs w:val="36"/>
          <w:highlight w:val="none"/>
        </w:rPr>
      </w:pPr>
      <w:r/>
      <w:bookmarkStart w:id="868" w:name="_Toc226965748"/>
      <w:r/>
      <w:bookmarkStart w:id="869" w:name="_Toc264969248"/>
      <w:r/>
      <w:bookmarkStart w:id="870" w:name="_Toc164608827"/>
      <w:r/>
      <w:bookmarkStart w:id="871" w:name="_Toc164608672"/>
      <w:r/>
      <w:bookmarkStart w:id="872" w:name="_Toc226965831"/>
      <w:r/>
      <w:bookmarkStart w:id="873" w:name="_Toc265228396"/>
      <w:r/>
      <w:bookmarkStart w:id="874" w:name="_Toc195842923"/>
      <w:r/>
      <w:bookmarkStart w:id="875" w:name="_Toc226337254"/>
      <w:r/>
      <w:bookmarkStart w:id="876" w:name="_Toc305158900"/>
      <w:r/>
      <w:bookmarkStart w:id="877" w:name="_Toc226309802"/>
      <w:r/>
      <w:bookmarkStart w:id="878" w:name="_Toc305158826"/>
      <w:r>
        <w:rPr>
          <w:rFonts w:hint="eastAsia" w:ascii="宋体" w:hAnsi="宋体"/>
          <w:b/>
          <w:color w:val="auto"/>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ind w:firstLine="240"/>
        <w:jc w:val="left"/>
        <w:spacing w:line="360" w:lineRule="auto"/>
        <w:tabs>
          <w:tab w:val="left" w:pos="1800" w:leader="none"/>
          <w:tab w:val="left" w:pos="5580" w:leader="none"/>
        </w:tabs>
        <w:rPr>
          <w:rFonts w:ascii="宋体" w:hAnsi="宋体"/>
          <w:color w:val="auto"/>
          <w:sz w:val="24"/>
          <w:highlight w:val="none"/>
          <w:u w:val="single"/>
        </w:rPr>
      </w:pPr>
      <w:r/>
      <w:bookmarkStart w:id="879" w:name="_Toc226965749"/>
      <w:r/>
      <w:bookmarkStart w:id="880" w:name="_Toc195842924"/>
      <w:r/>
      <w:bookmarkStart w:id="881" w:name="_Toc226965832"/>
      <w:r/>
      <w:bookmarkStart w:id="882" w:name="_Toc305158827"/>
      <w:r/>
      <w:bookmarkStart w:id="883" w:name="_Toc265228397"/>
      <w:r/>
      <w:bookmarkStart w:id="884" w:name="_Toc226337255"/>
      <w:r/>
      <w:bookmarkStart w:id="885" w:name="_Toc264969249"/>
      <w:r/>
      <w:bookmarkStart w:id="886" w:name="_Toc226309803"/>
      <w:r/>
      <w:bookmarkStart w:id="887" w:name="_Toc305158901"/>
      <w:r/>
      <w:bookmarkStart w:id="888" w:name="_Toc127151558"/>
      <w:r/>
      <w:bookmarkStart w:id="889" w:name="_Toc142311060"/>
      <w:r/>
      <w:bookmarkStart w:id="890" w:name="_Toc150480796"/>
      <w:r/>
      <w:bookmarkStart w:id="891" w:name="_Toc150774763"/>
      <w:r>
        <w:rPr>
          <w:rFonts w:ascii="宋体" w:hAnsi="宋体"/>
          <w:color w:val="auto"/>
          <w:sz w:val="24"/>
          <w:highlight w:val="none"/>
        </w:rPr>
        <w:t xml:space="preserve">项目编号/包号：________________   项目名称：________________</w:t>
      </w:r>
      <w:r/>
    </w:p>
    <w:tbl>
      <w:tblPr>
        <w:tblStyle w:val="869"/>
        <w:tblW w:w="49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3"/>
        <w:gridCol w:w="2941"/>
        <w:gridCol w:w="4539"/>
      </w:tblGrid>
      <w:tr>
        <w:trPr>
          <w:jc w:val="center"/>
          <w:trHeight w:val="1185"/>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88" w:type="pct"/>
            <w:vAlign w:val="center"/>
            <w:textDirection w:val="lrTb"/>
            <w:noWrap w:val="false"/>
          </w:tcPr>
          <w:p>
            <w:pPr>
              <w:jc w:val="center"/>
              <w:tabs>
                <w:tab w:val="left" w:pos="5580" w:leader="none"/>
              </w:tabs>
              <w:rPr>
                <w:b/>
                <w:color w:val="auto"/>
                <w:sz w:val="24"/>
                <w:highlight w:val="none"/>
              </w:rPr>
            </w:pPr>
            <w:r>
              <w:rPr>
                <w:rFonts w:ascii="宋体" w:hAnsi="宋体"/>
                <w:b/>
                <w:color w:val="auto"/>
                <w:sz w:val="24"/>
                <w:highlight w:val="none"/>
              </w:rPr>
              <w:t xml:space="preserve">投标人名称</w:t>
            </w:r>
            <w:r/>
          </w:p>
        </w:tc>
        <w:tc>
          <w:tcPr>
            <w:tcBorders>
              <w:top w:val="single" w:color="auto" w:sz="4" w:space="0"/>
              <w:left w:val="single" w:color="auto" w:sz="4" w:space="0"/>
              <w:bottom w:val="single" w:color="auto" w:sz="4" w:space="0"/>
              <w:right w:val="single" w:color="auto" w:sz="4" w:space="0"/>
            </w:tcBorders>
            <w:tcW w:w="2759" w:type="pct"/>
            <w:vAlign w:val="center"/>
            <w:textDirection w:val="lrTb"/>
            <w:noWrap w:val="false"/>
          </w:tcPr>
          <w:p>
            <w:pPr>
              <w:jc w:val="center"/>
              <w:tabs>
                <w:tab w:val="left" w:pos="5580" w:leader="none"/>
              </w:tabs>
              <w:rPr>
                <w:rFonts w:hint="eastAsia"/>
                <w:b/>
                <w:color w:val="auto"/>
                <w:sz w:val="24"/>
                <w:highlight w:val="none"/>
              </w:rPr>
            </w:pPr>
            <w:r>
              <w:rPr>
                <w:rFonts w:hint="eastAsia"/>
                <w:b/>
                <w:color w:val="auto"/>
                <w:sz w:val="24"/>
                <w:highlight w:val="none"/>
              </w:rPr>
              <w:t xml:space="preserve">报价</w:t>
            </w:r>
            <w:r/>
          </w:p>
          <w:p>
            <w:pPr>
              <w:jc w:val="center"/>
              <w:tabs>
                <w:tab w:val="left" w:pos="5580" w:leader="none"/>
              </w:tabs>
              <w:rPr>
                <w:rFonts w:hint="default" w:eastAsia="宋体"/>
                <w:b/>
                <w:color w:val="auto"/>
                <w:sz w:val="24"/>
                <w:highlight w:val="none"/>
                <w:lang w:val="en-US" w:eastAsia="zh-CN"/>
              </w:rPr>
            </w:pPr>
            <w:r>
              <w:rPr>
                <w:rFonts w:hint="eastAsia" w:ascii="Times New Roman" w:hAnsi="Times New Roman" w:eastAsia="宋体" w:cs="Times New Roman"/>
                <w:b/>
                <w:color w:val="auto"/>
                <w:sz w:val="24"/>
                <w:highlight w:val="none"/>
                <w:lang w:val="en-US" w:eastAsia="zh-CN"/>
              </w:rPr>
              <w:t xml:space="preserve">(优惠率=1-年度固定服务费基准总额)</w:t>
            </w:r>
            <w:r/>
          </w:p>
        </w:tc>
      </w:tr>
      <w:tr>
        <w:trPr>
          <w:jc w:val="center"/>
          <w:trHeight w:val="976"/>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88"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759" w:type="pct"/>
            <w:vAlign w:val="center"/>
            <w:textDirection w:val="lrTb"/>
            <w:noWrap w:val="false"/>
          </w:tcPr>
          <w:p>
            <w:pPr>
              <w:jc w:val="center"/>
              <w:tabs>
                <w:tab w:val="left" w:pos="5580" w:leader="none"/>
              </w:tabs>
              <w:rPr>
                <w:rFonts w:hint="default" w:eastAsia="宋体"/>
                <w:color w:val="auto"/>
                <w:sz w:val="24"/>
                <w:highlight w:val="none"/>
                <w:u w:val="none"/>
                <w:lang w:val="en-US" w:eastAsia="zh-CN"/>
              </w:rPr>
            </w:pPr>
            <w:r>
              <w:rPr>
                <w:rFonts w:hint="eastAsia"/>
                <w:color w:val="auto"/>
                <w:sz w:val="24"/>
                <w:highlight w:val="none"/>
                <w:u w:val="single"/>
                <w:lang w:val="en-US" w:eastAsia="zh-CN"/>
              </w:rPr>
              <w:t xml:space="preserve">       </w:t>
            </w:r>
            <w:r>
              <w:rPr>
                <w:rFonts w:hint="eastAsia"/>
                <w:color w:val="auto"/>
                <w:sz w:val="24"/>
                <w:highlight w:val="none"/>
                <w:u w:val="none"/>
                <w:lang w:val="en-US" w:eastAsia="zh-CN"/>
              </w:rPr>
              <w:t xml:space="preserve">%</w:t>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.此表中，每包的投标报价应和《投标分项报价表》中的</w:t>
      </w:r>
      <w:r>
        <w:rPr>
          <w:rFonts w:hint="eastAsia" w:ascii="宋体" w:hAnsi="宋体"/>
          <w:color w:val="auto"/>
          <w:sz w:val="24"/>
          <w:szCs w:val="20"/>
          <w:highlight w:val="none"/>
          <w:lang w:val="en-US" w:eastAsia="zh-CN"/>
        </w:rPr>
        <w:t xml:space="preserve">报价</w:t>
      </w:r>
      <w:r>
        <w:rPr>
          <w:rFonts w:ascii="宋体" w:hAnsi="宋体"/>
          <w:color w:val="auto"/>
          <w:sz w:val="24"/>
          <w:szCs w:val="20"/>
          <w:highlight w:val="none"/>
        </w:rPr>
        <w:t xml:space="preserve">相一致。</w:t>
      </w:r>
      <w:r/>
    </w:p>
    <w:p>
      <w:pPr>
        <w:ind w:firstLine="480"/>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lang w:val="en-US" w:eastAsia="zh-CN"/>
        </w:rPr>
        <w:t xml:space="preserve">7</w:t>
      </w:r>
      <w:r>
        <w:rPr>
          <w:rFonts w:ascii="宋体" w:hAnsi="宋体"/>
          <w:color w:val="auto"/>
          <w:sz w:val="24"/>
          <w:szCs w:val="20"/>
          <w:highlight w:val="none"/>
        </w:rPr>
        <w:t xml:space="preserve">  </w:t>
      </w:r>
      <w:r>
        <w:rPr>
          <w:color w:val="auto"/>
          <w:sz w:val="24"/>
          <w:szCs w:val="20"/>
          <w:highlight w:val="none"/>
        </w:rPr>
        <w:t xml:space="preserve">投标分项报价表</w:t>
      </w:r>
      <w:r/>
    </w:p>
    <w:p>
      <w:pPr>
        <w:jc w:val="left"/>
        <w:spacing w:line="312"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exact"/>
        <w:rPr>
          <w:rFonts w:hint="default"/>
          <w:b/>
          <w:color w:val="auto"/>
          <w:sz w:val="36"/>
          <w:szCs w:val="36"/>
          <w:highlight w:val="none"/>
          <w:lang w:val="en-US"/>
        </w:rPr>
      </w:pPr>
      <w:r>
        <w:rPr>
          <w:rFonts w:hint="eastAsia"/>
          <w:b/>
          <w:color w:val="auto"/>
          <w:sz w:val="36"/>
          <w:szCs w:val="36"/>
          <w:highlight w:val="none"/>
        </w:rPr>
        <w:t xml:space="preserve">投标分项报价表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t xml:space="preserve">项目编号/包号：___________</w:t>
      </w:r>
      <w:r>
        <w:rPr>
          <w:rFonts w:hint="eastAsia"/>
          <w:color w:val="auto"/>
          <w:sz w:val="24"/>
          <w:highlight w:val="none"/>
        </w:rPr>
        <w:t xml:space="preserve">   </w:t>
      </w:r>
      <w:r>
        <w:rPr>
          <w:color w:val="auto"/>
          <w:sz w:val="24"/>
          <w:highlight w:val="none"/>
        </w:rPr>
        <w:t xml:space="preserve"> 项目名称：__________</w:t>
      </w:r>
      <w:r>
        <w:rPr>
          <w:rFonts w:hint="eastAsia"/>
          <w:color w:val="auto"/>
          <w:sz w:val="24"/>
          <w:highlight w:val="none"/>
        </w:rPr>
        <w:t xml:space="preserve">  </w:t>
      </w:r>
      <w:r>
        <w:rPr>
          <w:rFonts w:hint="eastAsia"/>
          <w:color w:val="auto"/>
          <w:sz w:val="24"/>
          <w:highlight w:val="none"/>
          <w:lang w:val="en-US" w:eastAsia="zh-CN"/>
        </w:rPr>
        <w:t xml:space="preserve">  </w:t>
      </w:r>
      <w:r>
        <w:rPr>
          <w:color w:val="auto"/>
          <w:sz w:val="24"/>
          <w:highlight w:val="none"/>
        </w:rPr>
        <w:t xml:space="preserve">报价单位：人民币</w:t>
      </w:r>
      <w:r/>
    </w:p>
    <w:p>
      <w:pPr>
        <w:jc w:val="left"/>
        <w:tabs>
          <w:tab w:val="left" w:pos="1800" w:leader="none"/>
          <w:tab w:val="left" w:pos="5580" w:leader="none"/>
        </w:tabs>
        <w:rPr>
          <w:color w:val="auto"/>
          <w:sz w:val="24"/>
          <w:highlight w:val="none"/>
        </w:rPr>
      </w:pPr>
      <w:r>
        <w:rPr>
          <w:color w:val="auto"/>
          <w:sz w:val="24"/>
          <w:highlight w:val="none"/>
        </w:rPr>
      </w:r>
      <w:r/>
    </w:p>
    <w:tbl>
      <w:tblPr>
        <w:tblStyle w:val="86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418"/>
        <w:gridCol w:w="1578"/>
        <w:gridCol w:w="2206"/>
        <w:gridCol w:w="1243"/>
        <w:gridCol w:w="3012"/>
      </w:tblGrid>
      <w:tr>
        <w:trPr>
          <w:tblHeade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1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8"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报价项目</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165"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w:t>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填报内容</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2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权重</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955"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1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8"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职工食堂板块：服务费占职工食堂总营收的固定比例</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16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A</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2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45%</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955"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s="仿宋"/>
                <w:color w:val="auto"/>
                <w:sz w:val="24"/>
                <w:highlight w:val="none"/>
              </w:rPr>
              <w:t xml:space="preserve">含负一楼餐厅、体检中心</w:t>
            </w:r>
            <w:r>
              <w:rPr>
                <w:rFonts w:hint="eastAsia" w:ascii="宋体" w:hAnsi="宋体" w:cs="仿宋"/>
                <w:color w:val="auto"/>
                <w:sz w:val="24"/>
                <w:highlight w:val="none"/>
                <w:lang w:val="en-US" w:eastAsia="zh-CN"/>
              </w:rPr>
              <w:t xml:space="preserve">驻点</w:t>
            </w:r>
            <w:r>
              <w:rPr>
                <w:rFonts w:hint="eastAsia" w:ascii="宋体" w:hAnsi="宋体" w:cs="仿宋"/>
                <w:color w:val="auto"/>
                <w:sz w:val="24"/>
                <w:highlight w:val="none"/>
              </w:rPr>
              <w:t xml:space="preserve">早餐、手术室餐厅</w:t>
            </w:r>
            <w:r>
              <w:rPr>
                <w:rFonts w:hint="eastAsia" w:ascii="宋体" w:hAnsi="宋体" w:cs="仿宋"/>
                <w:color w:val="auto"/>
                <w:sz w:val="24"/>
                <w:highlight w:val="none"/>
                <w:lang w:val="en-US" w:eastAsia="zh-CN"/>
              </w:rPr>
              <w:t xml:space="preserve">驻点</w:t>
            </w:r>
            <w:r>
              <w:rPr>
                <w:rFonts w:hint="eastAsia" w:ascii="宋体" w:hAnsi="宋体" w:cs="仿宋"/>
                <w:color w:val="auto"/>
                <w:sz w:val="24"/>
                <w:highlight w:val="none"/>
              </w:rPr>
              <w:t xml:space="preserve">午餐、夜间职工订餐送餐、职工日常就餐、职工加班用餐、手术用餐、公务用餐、进修实习生的生活用餐、订送餐、包厢（如有）全流程用工服务，全年365天无休保障供餐</w:t>
            </w:r>
            <w:r>
              <w:rPr>
                <w:rFonts w:hint="eastAsia" w:ascii="宋体" w:hAnsi="宋体" w:eastAsia="宋体" w:cs="宋体"/>
                <w:color w:val="auto"/>
                <w:sz w:val="24"/>
                <w:szCs w:val="24"/>
                <w:highlight w:val="none"/>
                <w:lang w:val="en-US" w:eastAsia="zh-CN"/>
              </w:rPr>
              <w:t xml:space="preserve">，菜品由院方统一制定价格</w:t>
            </w:r>
            <w:r/>
          </w:p>
        </w:tc>
      </w:tr>
      <w:t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1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8"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病员食堂板块：服务费占病员食堂总营收的固定比例</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16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B</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55%</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955"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s="仿宋"/>
                <w:color w:val="auto"/>
                <w:sz w:val="24"/>
                <w:highlight w:val="none"/>
              </w:rPr>
              <w:t xml:space="preserve">含一楼餐厅、病房病员订餐送餐、病员零点餐、定制营养餐全流程服务</w:t>
            </w:r>
            <w:r>
              <w:rPr>
                <w:rFonts w:hint="eastAsia" w:ascii="宋体" w:hAnsi="宋体" w:cs="仿宋"/>
                <w:color w:val="auto"/>
                <w:sz w:val="24"/>
                <w:highlight w:val="none"/>
                <w:lang w:val="en-US" w:eastAsia="zh-CN"/>
              </w:rPr>
              <w:t xml:space="preserve">及其他服务</w:t>
            </w:r>
            <w:r>
              <w:rPr>
                <w:rFonts w:hint="eastAsia" w:ascii="宋体" w:hAnsi="宋体" w:eastAsia="宋体" w:cs="宋体"/>
                <w:color w:val="auto"/>
                <w:sz w:val="24"/>
                <w:szCs w:val="24"/>
                <w:highlight w:val="none"/>
                <w:lang w:val="en-US" w:eastAsia="zh-CN"/>
              </w:rPr>
              <w:t xml:space="preserve">，菜品价格由供应商自主制定、报</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US" w:eastAsia="zh-CN"/>
              </w:rPr>
              <w:t xml:space="preserve">方审核后执行</w:t>
            </w:r>
            <w:r/>
          </w:p>
        </w:tc>
      </w:tr>
      <w:t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1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8"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年度固定服务费基准总额</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165" w:type="dxa"/>
            <w:vAlign w:val="center"/>
            <w:textDirection w:val="lrTb"/>
            <w:noWrap w:val="false"/>
          </w:tcPr>
          <w:p>
            <w:pPr>
              <w:jc w:val="center"/>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jc w:val="center"/>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lang w:val="en-US" w:eastAsia="zh-CN"/>
              </w:rPr>
              <w:t xml:space="preserve">A*45%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B*55%</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2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955"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本报价为供应商主要收入来源，无任何附加收费、隐形费用</w:t>
            </w:r>
            <w:r/>
          </w:p>
        </w:tc>
      </w:tr>
      <w:tr>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41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8"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食堂较 2025 年度实现减亏部分的分成比例</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16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u w:val="single"/>
                <w:lang w:val="en-US" w:eastAsia="zh-CN"/>
              </w:rPr>
              <w:t xml:space="preserve"> 70 </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u w:val="single"/>
                <w:lang w:val="en-US" w:eastAsia="zh-CN"/>
              </w:rPr>
              <w:t xml:space="preserve"> 30 </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2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955"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减亏金额以院方财务最终核算数据为准；2. 分成金额于年度财务核算完成后一次性支付；3. 若年度未实现减亏，供应商不参与分成</w:t>
            </w:r>
            <w:r/>
          </w:p>
        </w:tc>
      </w:tr>
    </w:tbl>
    <w:p>
      <w:pPr>
        <w:pStyle w:val="870"/>
        <w:rPr>
          <w:rFonts w:hint="default" w:eastAsia="宋体"/>
          <w:color w:val="auto"/>
          <w:sz w:val="24"/>
          <w:highlight w:val="none"/>
          <w:lang w:val="en-US" w:eastAsia="zh-CN"/>
        </w:rPr>
      </w:pPr>
      <w:r>
        <w:rPr>
          <w:rFonts w:hint="eastAsia"/>
          <w:color w:val="auto"/>
          <w:sz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服务费占职工食堂总营收的固定比例</w:t>
      </w:r>
      <w:r>
        <w:rPr>
          <w:rFonts w:hint="eastAsia" w:cs="宋体"/>
          <w:color w:val="auto"/>
          <w:sz w:val="24"/>
          <w:szCs w:val="24"/>
          <w:highlight w:val="none"/>
          <w:lang w:val="en-US" w:eastAsia="zh-CN"/>
        </w:rPr>
        <w:t xml:space="preserve">不得高于</w:t>
      </w:r>
      <w:r>
        <w:rPr>
          <w:rFonts w:hint="eastAsia" w:ascii="宋体" w:hAnsi="宋体" w:eastAsia="宋体" w:cs="宋体"/>
          <w:color w:val="auto"/>
          <w:sz w:val="24"/>
          <w:szCs w:val="24"/>
          <w:highlight w:val="none"/>
          <w:lang w:val="en-US" w:eastAsia="zh-CN"/>
        </w:rPr>
        <w:t xml:space="preserve">占病员食堂总营收的固定比例</w:t>
      </w:r>
      <w:r>
        <w:rPr>
          <w:rFonts w:hint="eastAsia" w:cs="宋体"/>
          <w:color w:val="auto"/>
          <w:sz w:val="24"/>
          <w:szCs w:val="24"/>
          <w:highlight w:val="none"/>
          <w:lang w:val="en-US" w:eastAsia="zh-CN"/>
        </w:rPr>
        <w:t xml:space="preserve">，否则作无效投标处理。</w:t>
      </w:r>
      <w:r/>
    </w:p>
    <w:p>
      <w:pPr>
        <w:jc w:val="center"/>
        <w:spacing w:line="360" w:lineRule="exact"/>
        <w:rPr>
          <w:rFonts w:hint="eastAsia"/>
          <w:b/>
          <w:color w:val="auto"/>
          <w:sz w:val="36"/>
          <w:szCs w:val="36"/>
          <w:highlight w:val="none"/>
        </w:rPr>
      </w:pPr>
      <w:r>
        <w:rPr>
          <w:rFonts w:hint="eastAsia"/>
          <w:b/>
          <w:color w:val="auto"/>
          <w:sz w:val="36"/>
          <w:szCs w:val="36"/>
          <w:highlight w:val="none"/>
        </w:rPr>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Start w:id="892" w:name="_Toc127151562"/>
      <w:r/>
      <w:bookmarkStart w:id="893" w:name="_Toc150774765"/>
      <w:r/>
      <w:bookmarkStart w:id="894" w:name="_Toc305158830"/>
      <w:r/>
      <w:bookmarkStart w:id="895" w:name="_Toc264969252"/>
      <w:r/>
      <w:bookmarkStart w:id="896" w:name="_Toc150480798"/>
      <w:r/>
      <w:bookmarkStart w:id="897" w:name="_Toc226965752"/>
      <w:r/>
      <w:bookmarkStart w:id="898" w:name="_Toc142311062"/>
      <w:r/>
      <w:bookmarkStart w:id="899" w:name="_Toc226309806"/>
      <w:r/>
      <w:bookmarkStart w:id="900" w:name="_Toc305158904"/>
      <w:r/>
      <w:bookmarkStart w:id="901" w:name="_Toc226337258"/>
      <w:r/>
      <w:bookmarkStart w:id="902" w:name="_Toc226965835"/>
      <w:r/>
      <w:bookmarkStart w:id="903" w:name="_Toc195842927"/>
      <w:r/>
      <w:bookmarkStart w:id="904" w:name="_Toc265228400"/>
      <w:r/>
      <w:bookmarkStart w:id="905" w:name="_Toc305158829"/>
      <w:r/>
      <w:bookmarkStart w:id="906" w:name="_Toc150774764"/>
      <w:r/>
      <w:bookmarkStart w:id="907" w:name="_Toc226309805"/>
      <w:r/>
      <w:bookmarkStart w:id="908" w:name="_Toc226965834"/>
      <w:r/>
      <w:bookmarkStart w:id="909" w:name="_Toc150480797"/>
      <w:r/>
      <w:bookmarkStart w:id="910" w:name="_Toc142311061"/>
      <w:r/>
      <w:bookmarkStart w:id="911" w:name="_Toc195842926"/>
      <w:r/>
      <w:bookmarkStart w:id="912" w:name="_Toc265228399"/>
      <w:r/>
      <w:bookmarkStart w:id="913" w:name="_Toc226337257"/>
      <w:r/>
      <w:bookmarkStart w:id="914" w:name="_Toc264969251"/>
      <w:r/>
      <w:bookmarkStart w:id="915" w:name="_Toc127151561"/>
      <w:r/>
      <w:bookmarkStart w:id="916" w:name="_Toc305158903"/>
      <w:r/>
      <w:bookmarkStart w:id="917" w:name="_Toc226965751"/>
      <w:r>
        <w:rPr>
          <w:rFonts w:hint="eastAsia" w:ascii="宋体" w:hAnsi="宋体"/>
          <w:color w:val="auto"/>
          <w:sz w:val="24"/>
          <w:szCs w:val="20"/>
          <w:highlight w:val="none"/>
          <w:lang w:val="en-US" w:eastAsia="zh-CN"/>
        </w:rPr>
        <w:t xml:space="preserve">8</w:t>
      </w:r>
      <w:r>
        <w:rPr>
          <w:rFonts w:ascii="宋体" w:hAnsi="宋体"/>
          <w:color w:val="auto"/>
          <w:sz w:val="24"/>
          <w:szCs w:val="20"/>
          <w:highlight w:val="none"/>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hint="eastAsia" w:ascii="宋体" w:hAnsi="宋体"/>
          <w:color w:val="auto"/>
          <w:sz w:val="24"/>
          <w:szCs w:val="20"/>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     项目名称：_____________________</w:t>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lang w:val="en-US" w:eastAsia="zh-CN"/>
        </w:rPr>
        <w:t xml:space="preserve">9</w:t>
      </w:r>
      <w:r>
        <w:rPr>
          <w:rFonts w:ascii="宋体" w:hAnsi="宋体"/>
          <w:color w:val="auto"/>
          <w:sz w:val="24"/>
          <w:szCs w:val="20"/>
          <w:highlight w:val="none"/>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color w:val="auto"/>
          <w:sz w:val="24"/>
          <w:szCs w:val="20"/>
          <w:highlight w:val="none"/>
        </w:rPr>
        <w:t xml:space="preserve">采购需求偏离表</w:t>
      </w:r>
      <w:r>
        <w:rPr>
          <w:rFonts w:hint="eastAsia" w:ascii="宋体" w:hAnsi="宋体"/>
          <w:color w:val="auto"/>
          <w:sz w:val="24"/>
          <w:szCs w:val="20"/>
          <w:highlight w:val="none"/>
        </w:rPr>
        <w:t xml:space="preserve">（实质性格式）</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     项目名称：_____________________</w:t>
      </w:r>
      <w:r/>
    </w:p>
    <w:tbl>
      <w:tblPr>
        <w:tblStyle w:val="86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hint="eastAsia" w:ascii="宋体" w:hAnsi="宋体"/>
          <w:color w:val="auto"/>
          <w:sz w:val="24"/>
          <w:szCs w:val="20"/>
          <w:highlight w:val="none"/>
        </w:rPr>
      </w:pPr>
      <w:r>
        <w:rPr>
          <w:rFonts w:hint="eastAsia" w:ascii="宋体" w:hAnsi="宋体"/>
          <w:color w:val="auto"/>
          <w:sz w:val="24"/>
          <w:szCs w:val="20"/>
          <w:highlight w:val="none"/>
        </w:rPr>
        <w:br w:type="page" w:clear="all"/>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lang w:val="en-US" w:eastAsia="zh-CN"/>
        </w:rPr>
        <w:t xml:space="preserve">10</w:t>
      </w:r>
      <w:r>
        <w:rPr>
          <w:rFonts w:ascii="宋体" w:hAnsi="宋体"/>
          <w:color w:val="auto"/>
          <w:sz w:val="24"/>
          <w:szCs w:val="20"/>
          <w:highlight w:val="none"/>
        </w:rPr>
        <w:t xml:space="preserve">  中小企业声明函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auto"/>
          <w:sz w:val="24"/>
          <w:highlight w:val="none"/>
        </w:rPr>
        <w:fldChar w:fldCharType="begin"/>
      </w:r>
      <w:r>
        <w:rPr>
          <w:rFonts w:ascii="宋体" w:hAnsi="宋体"/>
          <w:color w:val="auto"/>
          <w:sz w:val="24"/>
          <w:highlight w:val="none"/>
        </w:rPr>
        <w:instrText xml:space="preserve"> HYPERLINK "http://202.106.120.146/baosong/appweb/orgScale.html" </w:instrText>
      </w:r>
      <w:r>
        <w:rPr>
          <w:rFonts w:ascii="宋体" w:hAnsi="宋体"/>
          <w:color w:val="auto"/>
          <w:sz w:val="24"/>
          <w:highlight w:val="none"/>
        </w:rPr>
        <w:fldChar w:fldCharType="separate"/>
      </w:r>
      <w:r>
        <w:rPr>
          <w:rStyle w:val="911"/>
          <w:rFonts w:ascii="宋体" w:hAnsi="宋体"/>
          <w:color w:val="auto"/>
          <w:sz w:val="24"/>
          <w:highlight w:val="none"/>
        </w:rPr>
        <w:t xml:space="preserve">http://202.106.120.146/baosong/appweb/orgScale.html</w:t>
      </w:r>
      <w:r>
        <w:rPr>
          <w:rFonts w:ascii="宋体" w:hAnsi="宋体"/>
          <w:color w:val="auto"/>
          <w:sz w:val="24"/>
          <w:highlight w:val="none"/>
        </w:rPr>
        <w:fldChar w:fldCharType="end"/>
      </w:r>
      <w:r>
        <w:rPr>
          <w:rFonts w:hint="eastAsia" w:ascii="宋体" w:hAnsi="宋体"/>
          <w:color w:val="auto"/>
          <w:sz w:val="24"/>
          <w:highlight w:val="none"/>
        </w:rPr>
        <w:t xml:space="preserve">）</w:t>
      </w:r>
      <w:r/>
    </w:p>
    <w:p>
      <w:pPr>
        <w:spacing w:line="360" w:lineRule="auto"/>
        <w:tabs>
          <w:tab w:val="left" w:pos="5580" w:leader="none"/>
        </w:tabs>
        <w:rPr>
          <w:rFonts w:hint="eastAsia" w:ascii="宋体" w:hAnsi="宋体"/>
          <w:b/>
          <w:color w:val="auto"/>
          <w:sz w:val="24"/>
          <w:highlight w:val="none"/>
        </w:rPr>
      </w:pPr>
      <w:r>
        <w:rPr>
          <w:rFonts w:hint="eastAsia" w:ascii="宋体" w:hAnsi="宋体"/>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rFonts w:ascii="宋体" w:hAnsi="宋体"/>
          <w:b/>
          <w:bCs/>
          <w:color w:val="auto"/>
          <w:sz w:val="24"/>
          <w:highlight w:val="none"/>
        </w:rPr>
      </w:pPr>
      <w:r>
        <w:rPr>
          <w:rFonts w:ascii="宋体" w:hAnsi="宋体"/>
          <w:b/>
          <w:bCs/>
          <w:color w:val="auto"/>
          <w:sz w:val="24"/>
          <w:highlight w:val="none"/>
        </w:rPr>
        <w:br w:type="page" w:clear="all"/>
      </w:r>
      <w:r/>
    </w:p>
    <w:p>
      <w:pPr>
        <w:jc w:val="center"/>
        <w:widowControl/>
        <w:rPr>
          <w:rFonts w:hint="eastAsia"/>
          <w:b/>
          <w:bCs/>
          <w:color w:val="auto"/>
          <w:sz w:val="36"/>
          <w:szCs w:val="36"/>
          <w:highlight w:val="none"/>
        </w:rPr>
      </w:pPr>
      <w:r>
        <w:rPr>
          <w:rFonts w:hint="eastAsia"/>
          <w:b/>
          <w:bCs/>
          <w:color w:val="auto"/>
          <w:sz w:val="36"/>
          <w:szCs w:val="36"/>
          <w:highlight w:val="none"/>
        </w:rPr>
        <w:t xml:space="preserve">中小企业声明函（服务）格式</w:t>
      </w:r>
      <w:r/>
    </w:p>
    <w:p>
      <w:pPr>
        <w:jc w:val="center"/>
        <w:widowControl/>
        <w:rPr>
          <w:rFonts w:hint="eastAsia"/>
          <w:b/>
          <w:bCs/>
          <w:color w:val="auto"/>
          <w:sz w:val="36"/>
          <w:szCs w:val="36"/>
          <w:highlight w:val="none"/>
        </w:rPr>
      </w:pPr>
      <w:r>
        <w:rPr>
          <w:rFonts w:hint="eastAsia"/>
          <w:b/>
          <w:bCs/>
          <w:color w:val="auto"/>
          <w:sz w:val="36"/>
          <w:szCs w:val="36"/>
          <w:highlight w:val="none"/>
        </w:rPr>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86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3"/>
      </w:tblGrid>
      <w:tr>
        <w:trPr/>
        <w:tc>
          <w:tcPr>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jc w:val="center"/>
        <w:spacing w:line="360" w:lineRule="auto"/>
        <w:rPr>
          <w:rFonts w:ascii="宋体" w:hAnsi="宋体"/>
          <w:b/>
          <w:bCs/>
          <w:color w:val="auto"/>
          <w:sz w:val="36"/>
          <w:szCs w:val="36"/>
          <w:highlight w:val="none"/>
        </w:rPr>
        <w:outlineLvl w:val="2"/>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outlineLvl w:val="2"/>
      </w:pPr>
      <w:r>
        <w:rPr>
          <w:rFonts w:ascii="宋体" w:hAnsi="宋体"/>
          <w:b/>
          <w:bCs/>
          <w:color w:val="auto"/>
          <w:sz w:val="36"/>
          <w:szCs w:val="36"/>
          <w:highlight w:val="none"/>
        </w:rPr>
        <w:br w:type="page" w:clear="all"/>
      </w:r>
      <w:r/>
    </w:p>
    <w:p>
      <w:pPr>
        <w:jc w:val="center"/>
        <w:spacing w:line="360" w:lineRule="auto"/>
        <w:rPr>
          <w:rFonts w:ascii="宋体" w:hAnsi="宋体"/>
          <w:color w:val="auto"/>
          <w:sz w:val="36"/>
          <w:szCs w:val="36"/>
          <w:highlight w:val="none"/>
        </w:rPr>
        <w:outlineLvl w:val="2"/>
      </w:pPr>
      <w:r>
        <w:rPr>
          <w:rFonts w:ascii="宋体" w:hAnsi="宋体"/>
          <w:b/>
          <w:bCs/>
          <w:color w:val="auto"/>
          <w:sz w:val="36"/>
          <w:szCs w:val="36"/>
          <w:highlight w:val="none"/>
        </w:rPr>
        <w:t xml:space="preserve">残疾人福利性单位声明函格式</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spacing w:line="360" w:lineRule="auto"/>
        <w:rPr>
          <w:rFonts w:ascii="宋体" w:hAnsi="宋体"/>
          <w:b/>
          <w:color w:val="auto"/>
          <w:sz w:val="24"/>
          <w:highlight w:val="none"/>
        </w:rPr>
        <w:outlineLvl w:val="2"/>
      </w:pPr>
      <w:r>
        <w:rPr>
          <w:rFonts w:ascii="宋体" w:hAnsi="宋体"/>
          <w:b/>
          <w:color w:val="auto"/>
          <w:sz w:val="24"/>
          <w:highlight w:val="none"/>
        </w:rPr>
      </w:r>
      <w:r/>
    </w:p>
    <w:p>
      <w:pPr>
        <w:rPr>
          <w:rFonts w:hint="eastAsia" w:ascii="宋体" w:hAnsi="宋体"/>
          <w:color w:val="auto"/>
          <w:sz w:val="24"/>
          <w:szCs w:val="20"/>
          <w:highlight w:val="none"/>
        </w:rPr>
      </w:pPr>
      <w:r>
        <w:rPr>
          <w:rFonts w:hint="eastAsia" w:ascii="宋体" w:hAnsi="宋体"/>
          <w:color w:val="auto"/>
          <w:sz w:val="24"/>
          <w:szCs w:val="20"/>
          <w:highlight w:val="none"/>
        </w:rPr>
      </w:r>
      <w:r/>
    </w:p>
    <w:p>
      <w:pPr>
        <w:rPr>
          <w:rFonts w:hint="eastAsia" w:ascii="宋体" w:hAnsi="宋体" w:eastAsia="宋体"/>
          <w:color w:val="auto"/>
          <w:sz w:val="24"/>
          <w:szCs w:val="20"/>
          <w:highlight w:val="none"/>
        </w:rPr>
      </w:pPr>
      <w:r>
        <w:rPr>
          <w:rFonts w:hint="eastAsia" w:ascii="宋体" w:hAnsi="宋体" w:eastAsia="宋体"/>
          <w:color w:val="auto"/>
          <w:sz w:val="24"/>
          <w:szCs w:val="20"/>
          <w:highlight w:val="none"/>
        </w:rPr>
        <w:br w:type="page" w:clear="all"/>
      </w:r>
      <w:r/>
    </w:p>
    <w:p>
      <w:pPr>
        <w:rPr>
          <w:rFonts w:hint="eastAsia" w:ascii="宋体" w:hAnsi="宋体" w:eastAsia="宋体"/>
          <w:color w:val="auto"/>
          <w:sz w:val="24"/>
          <w:szCs w:val="20"/>
          <w:highlight w:val="none"/>
        </w:rPr>
      </w:pPr>
      <w:r>
        <w:rPr>
          <w:rFonts w:hint="eastAsia" w:ascii="宋体" w:hAnsi="宋体"/>
          <w:color w:val="auto"/>
          <w:sz w:val="24"/>
          <w:szCs w:val="20"/>
          <w:highlight w:val="none"/>
          <w:lang w:val="en-US" w:eastAsia="zh-CN"/>
        </w:rPr>
        <w:t xml:space="preserve">11</w:t>
      </w:r>
      <w:r>
        <w:rPr>
          <w:rFonts w:hint="eastAsia" w:ascii="宋体" w:hAnsi="宋体" w:eastAsia="宋体"/>
          <w:color w:val="auto"/>
          <w:sz w:val="24"/>
          <w:szCs w:val="20"/>
          <w:highlight w:val="none"/>
        </w:rPr>
        <w:t xml:space="preserve">  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rPr>
          <w:rFonts w:ascii="宋体" w:hAnsi="宋体"/>
          <w:color w:val="auto"/>
          <w:sz w:val="24"/>
          <w:szCs w:val="20"/>
          <w:highlight w:val="none"/>
        </w:rPr>
      </w:pPr>
      <w:r>
        <w:rPr>
          <w:rFonts w:hint="eastAsia" w:ascii="宋体" w:hAnsi="宋体"/>
          <w:color w:val="auto"/>
          <w:sz w:val="24"/>
          <w:szCs w:val="20"/>
          <w:highlight w:val="none"/>
          <w:lang w:val="en-US" w:eastAsia="zh-CN"/>
        </w:rPr>
        <w:t xml:space="preserve">12</w:t>
      </w:r>
      <w:r>
        <w:rPr>
          <w:rFonts w:hint="eastAsia" w:ascii="宋体" w:hAnsi="宋体"/>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6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sz w:val="24"/>
          <w:szCs w:val="20"/>
          <w:highlight w:val="none"/>
        </w:rPr>
      </w:pPr>
      <w:r>
        <w:rPr>
          <w:rFonts w:ascii="宋体" w:hAnsi="宋体"/>
          <w:color w:val="auto"/>
          <w:sz w:val="22"/>
          <w:highlight w:val="none"/>
        </w:rPr>
        <w:br w:type="page" w:clear="all"/>
      </w:r>
      <w:bookmarkStart w:id="918" w:name="_Toc288738397"/>
      <w:r/>
      <w:bookmarkStart w:id="919" w:name="_Toc288738839"/>
      <w:r>
        <w:rPr>
          <w:rFonts w:hint="eastAsia" w:ascii="宋体" w:hAnsi="宋体"/>
          <w:color w:val="auto"/>
          <w:sz w:val="24"/>
          <w:szCs w:val="20"/>
          <w:highlight w:val="none"/>
          <w:lang w:val="en-US" w:eastAsia="zh-CN"/>
        </w:rPr>
        <w:t xml:space="preserve">13</w:t>
      </w:r>
      <w:r>
        <w:rPr>
          <w:rFonts w:hint="eastAsia" w:ascii="宋体" w:hAnsi="宋体"/>
          <w:color w:val="auto"/>
          <w:sz w:val="24"/>
          <w:szCs w:val="20"/>
          <w:highlight w:val="none"/>
        </w:rPr>
        <w:t xml:space="preserve">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8"/>
      <w:r/>
      <w:bookmarkEnd w:id="919"/>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6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lang w:val="en-US" w:eastAsia="zh-CN"/>
        </w:rPr>
        <w:t xml:space="preserve">14</w:t>
      </w:r>
      <w:r>
        <w:rPr>
          <w:rFonts w:hint="eastAsia" w:ascii="宋体" w:hAnsi="宋体"/>
          <w:color w:val="auto"/>
          <w:sz w:val="24"/>
          <w:szCs w:val="20"/>
          <w:highlight w:val="none"/>
        </w:rPr>
        <w:t xml:space="preserve">  </w:t>
      </w:r>
      <w:r>
        <w:rPr>
          <w:rFonts w:ascii="宋体" w:hAnsi="宋体"/>
          <w:color w:val="auto"/>
          <w:sz w:val="24"/>
          <w:szCs w:val="20"/>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sectPr>
      <w:headerReference w:type="even" r:id="rId14"/>
      <w:headerReference w:type="first" r:id="rId15"/>
      <w:footerReference w:type="even" r:id="rId23"/>
      <w:footerReference w:type="first" r:id="rId24"/>
      <w:footnotePr/>
      <w:endnotePr/>
      <w:type w:val="nextPage"/>
      <w:pgSz w:w="11905"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right="360"/>
      <w:rPr>
        <w:rStyle w:val="908"/>
      </w:rPr>
      <w:framePr w:wrap="around" w:vAnchor="text" w:hAnchor="margin" w:y="1"/>
    </w:pPr>
    <w:r/>
    <w:r/>
  </w:p>
  <w:p>
    <w:pPr>
      <w:pStyle w:val="888"/>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08"/>
      </w:rPr>
      <w:framePr w:wrap="around" w:vAnchor="text" w:hAnchor="margin" w:xAlign="center" w:y="1"/>
    </w:pPr>
    <w:r>
      <w:fldChar w:fldCharType="begin"/>
    </w:r>
    <w:r>
      <w:rPr>
        <w:rStyle w:val="908"/>
      </w:rPr>
      <w:instrText xml:space="preserve">PAGE  </w:instrText>
    </w:r>
    <w:r>
      <w:fldChar w:fldCharType="end"/>
    </w:r>
    <w:r/>
  </w:p>
  <w:p>
    <w:pPr>
      <w:pStyle w:val="88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08"/>
      </w:rPr>
      <w:framePr w:wrap="around" w:vAnchor="text" w:hAnchor="margin" w:xAlign="right" w:y="1"/>
    </w:pPr>
    <w:r/>
    <w:r/>
  </w:p>
  <w:p>
    <w:pPr>
      <w:pStyle w:val="888"/>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3510" cy="29083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text-anchor:top;visibility:visible;" filled="f" stroked="f">
              <v:textbox inset="0,0,0,0">
                <w:txbxContent>
                  <w:p>
                    <w:pPr>
                      <w:pStyle w:val="888"/>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08"/>
      </w:rPr>
      <w:framePr w:wrap="around" w:vAnchor="text" w:hAnchor="margin" w:xAlign="right" w:y="1"/>
    </w:pPr>
    <w:r>
      <w:rPr>
        <w:rStyle w:val="908"/>
      </w:rPr>
      <w:fldChar w:fldCharType="begin"/>
    </w:r>
    <w:r>
      <w:rPr>
        <w:rStyle w:val="908"/>
      </w:rPr>
      <w:instrText xml:space="preserve">PAGE  </w:instrText>
    </w:r>
    <w:r>
      <w:rPr>
        <w:rStyle w:val="908"/>
      </w:rPr>
      <w:fldChar w:fldCharType="end"/>
    </w:r>
    <w:r/>
  </w:p>
  <w:p>
    <w:pPr>
      <w:pStyle w:val="88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08"/>
      </w:rPr>
      <w:framePr w:wrap="around" w:vAnchor="text" w:hAnchor="margin" w:xAlign="right" w:y="1"/>
    </w:pPr>
    <w:r>
      <w:rPr>
        <w:rStyle w:val="908"/>
      </w:rPr>
      <w:fldChar w:fldCharType="begin"/>
    </w:r>
    <w:r>
      <w:rPr>
        <w:rStyle w:val="908"/>
      </w:rPr>
      <w:instrText xml:space="preserve">PAGE  </w:instrText>
    </w:r>
    <w:r>
      <w:rPr>
        <w:rStyle w:val="908"/>
      </w:rPr>
      <w:fldChar w:fldCharType="end"/>
    </w:r>
    <w:r/>
  </w:p>
  <w:p>
    <w:pPr>
      <w:pStyle w:val="888"/>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4">
    <w:multiLevelType w:val="hybridMultilevel"/>
    <w:lvl w:ilvl="0">
      <w:start w:val="1"/>
      <w:numFmt w:val="decimal"/>
      <w:pStyle w:val="97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lowerLetter"/>
      <w:pStyle w:val="104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017"/>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6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6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0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0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1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2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86"/>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0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97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71"/>
      <w:isLgl w:val="false"/>
      <w:suff w:val="tab"/>
      <w:lvlText w:val="%1"/>
      <w:lvlJc w:val="left"/>
      <w:pPr>
        <w:ind w:left="680" w:hanging="680"/>
      </w:pPr>
      <w:rPr>
        <w:rFonts w:hint="eastAsia" w:ascii="宋体" w:hAnsi="宋体" w:eastAsia="宋体"/>
      </w:rPr>
    </w:lvl>
    <w:lvl w:ilvl="1">
      <w:start w:val="1"/>
      <w:numFmt w:val="decimal"/>
      <w:pStyle w:val="1072"/>
      <w:isLgl w:val="false"/>
      <w:suff w:val="tab"/>
      <w:lvlText w:val="%1.%2"/>
      <w:lvlJc w:val="left"/>
      <w:pPr>
        <w:ind w:left="851" w:hanging="851"/>
      </w:pPr>
      <w:rPr>
        <w:rFonts w:hint="eastAsia" w:ascii="宋体" w:hAnsi="宋体" w:eastAsia="宋体"/>
        <w:color w:val="auto"/>
      </w:rPr>
    </w:lvl>
    <w:lvl w:ilvl="2">
      <w:start w:val="1"/>
      <w:numFmt w:val="decimal"/>
      <w:pStyle w:val="107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chineseCountingThousand"/>
      <w:pStyle w:val="892"/>
      <w:isLgl w:val="false"/>
      <w:suff w:val="tab"/>
      <w:lvlText w:val="%1、"/>
      <w:lvlJc w:val="left"/>
      <w:pPr>
        <w:ind w:left="420" w:hanging="420"/>
      </w:pPr>
      <w:rPr>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4"/>
  </w:num>
  <w:num w:numId="2">
    <w:abstractNumId w:val="7"/>
  </w:num>
  <w:num w:numId="3">
    <w:abstractNumId w:val="10"/>
  </w:num>
  <w:num w:numId="4">
    <w:abstractNumId w:val="4"/>
  </w:num>
  <w:num w:numId="5">
    <w:abstractNumId w:val="8"/>
  </w:num>
  <w:num w:numId="6">
    <w:abstractNumId w:val="6"/>
  </w:num>
  <w:num w:numId="7">
    <w:abstractNumId w:val="5"/>
  </w:num>
  <w:num w:numId="8">
    <w:abstractNumId w:val="12"/>
  </w:num>
  <w:num w:numId="9">
    <w:abstractNumId w:val="11"/>
  </w:num>
  <w:num w:numId="10">
    <w:abstractNumId w:val="9"/>
  </w:num>
  <w:num w:numId="11">
    <w:abstractNumId w:val="15"/>
  </w:num>
  <w:num w:numId="12">
    <w:abstractNumId w:val="3"/>
  </w:num>
  <w:num w:numId="13">
    <w:abstractNumId w:val="16"/>
  </w:num>
  <w:num w:numId="14">
    <w:abstractNumId w:val="13"/>
  </w:num>
  <w:num w:numId="15">
    <w:abstractNumId w:val="18"/>
  </w:num>
  <w:num w:numId="16">
    <w:abstractNumId w:val="17"/>
  </w:num>
  <w:num w:numId="17">
    <w:abstractNumId w:val="1"/>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character" w:styleId="34">
    <w:name w:val="Title Char"/>
    <w:basedOn w:val="868"/>
    <w:link w:val="901"/>
    <w:uiPriority w:val="10"/>
    <w:rPr>
      <w:sz w:val="48"/>
      <w:szCs w:val="48"/>
    </w:rPr>
  </w:style>
  <w:style w:type="character" w:styleId="36">
    <w:name w:val="Subtitle Char"/>
    <w:basedOn w:val="868"/>
    <w:link w:val="892"/>
    <w:uiPriority w:val="11"/>
    <w:rPr>
      <w:sz w:val="24"/>
      <w:szCs w:val="24"/>
    </w:rPr>
  </w:style>
  <w:style w:type="paragraph" w:styleId="37">
    <w:name w:val="Quote"/>
    <w:basedOn w:val="858"/>
    <w:next w:val="858"/>
    <w:link w:val="38"/>
    <w:uiPriority w:val="29"/>
    <w:qFormat/>
    <w:pPr>
      <w:ind w:left="720" w:right="720"/>
    </w:pPr>
    <w:rPr>
      <w:i/>
    </w:rPr>
  </w:style>
  <w:style w:type="character" w:styleId="38">
    <w:name w:val="Quote Char"/>
    <w:link w:val="37"/>
    <w:uiPriority w:val="29"/>
    <w:rPr>
      <w:i/>
    </w:rPr>
  </w:style>
  <w:style w:type="paragraph" w:styleId="39">
    <w:name w:val="Intense Quote"/>
    <w:basedOn w:val="858"/>
    <w:next w:val="8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8"/>
    <w:link w:val="889"/>
    <w:uiPriority w:val="99"/>
  </w:style>
  <w:style w:type="character" w:styleId="44">
    <w:name w:val="Footer Char"/>
    <w:basedOn w:val="868"/>
    <w:link w:val="888"/>
    <w:uiPriority w:val="99"/>
  </w:style>
  <w:style w:type="character" w:styleId="46">
    <w:name w:val="Caption Char"/>
    <w:basedOn w:val="873"/>
    <w:link w:val="888"/>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8"/>
    <w:uiPriority w:val="99"/>
    <w:unhideWhenUsed/>
    <w:rPr>
      <w:vertAlign w:val="superscript"/>
    </w:rPr>
  </w:style>
  <w:style w:type="paragraph" w:styleId="177">
    <w:name w:val="endnote text"/>
    <w:basedOn w:val="8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8"/>
    <w:uiPriority w:val="99"/>
    <w:semiHidden/>
    <w:unhideWhenUsed/>
    <w:rPr>
      <w:vertAlign w:val="superscript"/>
    </w:r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70"/>
    <w:uiPriority w:val="0"/>
    <w:qFormat/>
    <w:pPr>
      <w:jc w:val="both"/>
      <w:widowControl w:val="off"/>
    </w:pPr>
    <w:rPr>
      <w:rFonts w:ascii="Times New Roman" w:hAnsi="Times New Roman" w:eastAsia="宋体" w:cs="Times New Roman"/>
      <w:sz w:val="21"/>
      <w:szCs w:val="24"/>
      <w:lang w:val="en-US" w:eastAsia="zh-CN" w:bidi="ar-SA"/>
    </w:rPr>
  </w:style>
  <w:style w:type="paragraph" w:styleId="859">
    <w:name w:val="Heading 1"/>
    <w:basedOn w:val="858"/>
    <w:next w:val="858"/>
    <w:link w:val="914"/>
    <w:uiPriority w:val="0"/>
    <w:qFormat/>
    <w:pPr>
      <w:jc w:val="center"/>
      <w:keepLines/>
      <w:keepNext/>
      <w:spacing w:before="240" w:after="120" w:line="300" w:lineRule="auto"/>
      <w:outlineLvl w:val="0"/>
    </w:pPr>
    <w:rPr>
      <w:rFonts w:ascii="宋体"/>
      <w:b/>
      <w:sz w:val="32"/>
      <w:szCs w:val="20"/>
    </w:rPr>
  </w:style>
  <w:style w:type="paragraph" w:styleId="860">
    <w:name w:val="Heading 2"/>
    <w:basedOn w:val="858"/>
    <w:next w:val="871"/>
    <w:link w:val="915"/>
    <w:uiPriority w:val="0"/>
    <w:qFormat/>
    <w:pPr>
      <w:jc w:val="center"/>
      <w:keepLines/>
      <w:keepNext/>
      <w:spacing w:before="120" w:line="300" w:lineRule="auto"/>
      <w:outlineLvl w:val="1"/>
    </w:pPr>
    <w:rPr>
      <w:rFonts w:ascii="Arial" w:hAnsi="Arial" w:eastAsia="黑体"/>
      <w:b/>
      <w:sz w:val="30"/>
      <w:szCs w:val="20"/>
    </w:rPr>
  </w:style>
  <w:style w:type="paragraph" w:styleId="861">
    <w:name w:val="Heading 3"/>
    <w:basedOn w:val="858"/>
    <w:next w:val="858"/>
    <w:link w:val="916"/>
    <w:uiPriority w:val="0"/>
    <w:qFormat/>
    <w:pPr>
      <w:jc w:val="left"/>
      <w:keepLines/>
      <w:keepNext/>
      <w:spacing w:before="360" w:after="120"/>
      <w:outlineLvl w:val="2"/>
    </w:pPr>
    <w:rPr>
      <w:rFonts w:ascii="宋体"/>
      <w:b/>
      <w:sz w:val="24"/>
      <w:szCs w:val="20"/>
      <w:u w:val="single"/>
    </w:rPr>
  </w:style>
  <w:style w:type="paragraph" w:styleId="862">
    <w:name w:val="Heading 4"/>
    <w:basedOn w:val="858"/>
    <w:next w:val="858"/>
    <w:link w:val="917"/>
    <w:uiPriority w:val="0"/>
    <w:qFormat/>
    <w:pPr>
      <w:keepLines/>
      <w:keepNext/>
      <w:spacing w:before="280" w:after="290" w:line="376" w:lineRule="atLeast"/>
      <w:outlineLvl w:val="3"/>
    </w:pPr>
    <w:rPr>
      <w:rFonts w:ascii="Arial" w:hAnsi="Arial" w:eastAsia="黑体"/>
      <w:b/>
      <w:sz w:val="28"/>
      <w:szCs w:val="20"/>
    </w:rPr>
  </w:style>
  <w:style w:type="paragraph" w:styleId="863">
    <w:name w:val="Heading 5"/>
    <w:basedOn w:val="858"/>
    <w:next w:val="858"/>
    <w:link w:val="918"/>
    <w:uiPriority w:val="0"/>
    <w:qFormat/>
    <w:pPr>
      <w:keepLines/>
      <w:keepNext/>
      <w:spacing w:before="280" w:after="290" w:line="376" w:lineRule="atLeast"/>
      <w:outlineLvl w:val="4"/>
    </w:pPr>
    <w:rPr>
      <w:b/>
      <w:sz w:val="28"/>
      <w:szCs w:val="20"/>
    </w:rPr>
  </w:style>
  <w:style w:type="paragraph" w:styleId="864">
    <w:name w:val="Heading 6"/>
    <w:basedOn w:val="858"/>
    <w:next w:val="858"/>
    <w:link w:val="919"/>
    <w:uiPriority w:val="0"/>
    <w:qFormat/>
    <w:pPr>
      <w:keepLines/>
      <w:keepNext/>
      <w:spacing w:before="240" w:after="64" w:line="320" w:lineRule="atLeast"/>
      <w:outlineLvl w:val="5"/>
    </w:pPr>
    <w:rPr>
      <w:rFonts w:ascii="Arial" w:hAnsi="Arial" w:eastAsia="黑体"/>
      <w:b/>
      <w:sz w:val="24"/>
      <w:szCs w:val="20"/>
    </w:rPr>
  </w:style>
  <w:style w:type="paragraph" w:styleId="865">
    <w:name w:val="Heading 7"/>
    <w:basedOn w:val="858"/>
    <w:next w:val="858"/>
    <w:link w:val="920"/>
    <w:uiPriority w:val="0"/>
    <w:qFormat/>
    <w:pPr>
      <w:keepLines/>
      <w:keepNext/>
      <w:spacing w:before="240" w:after="64" w:line="320" w:lineRule="atLeast"/>
      <w:outlineLvl w:val="6"/>
    </w:pPr>
    <w:rPr>
      <w:b/>
      <w:sz w:val="24"/>
      <w:szCs w:val="20"/>
    </w:rPr>
  </w:style>
  <w:style w:type="paragraph" w:styleId="866">
    <w:name w:val="Heading 8"/>
    <w:basedOn w:val="858"/>
    <w:next w:val="858"/>
    <w:link w:val="921"/>
    <w:uiPriority w:val="0"/>
    <w:qFormat/>
    <w:pPr>
      <w:keepLines/>
      <w:keepNext/>
      <w:spacing w:before="240" w:after="64" w:line="320" w:lineRule="atLeast"/>
      <w:outlineLvl w:val="7"/>
    </w:pPr>
    <w:rPr>
      <w:rFonts w:ascii="Arial" w:hAnsi="Arial" w:eastAsia="黑体"/>
      <w:sz w:val="24"/>
      <w:szCs w:val="20"/>
    </w:rPr>
  </w:style>
  <w:style w:type="paragraph" w:styleId="867">
    <w:name w:val="Heading 9"/>
    <w:basedOn w:val="858"/>
    <w:next w:val="858"/>
    <w:link w:val="922"/>
    <w:uiPriority w:val="0"/>
    <w:qFormat/>
    <w:pPr>
      <w:keepLines/>
      <w:keepNext/>
      <w:spacing w:before="240" w:after="64" w:line="320" w:lineRule="atLeast"/>
      <w:outlineLvl w:val="8"/>
    </w:pPr>
    <w:rPr>
      <w:rFonts w:ascii="Arial" w:hAnsi="Arial" w:eastAsia="黑体"/>
      <w:szCs w:val="20"/>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Body Text"/>
    <w:basedOn w:val="858"/>
    <w:next w:val="858"/>
    <w:link w:val="927"/>
    <w:uiPriority w:val="0"/>
    <w:qFormat/>
    <w:pPr>
      <w:spacing w:before="120" w:line="22" w:lineRule="atLeast"/>
      <w:tabs>
        <w:tab w:val="left" w:pos="567" w:leader="none"/>
      </w:tabs>
    </w:pPr>
    <w:rPr>
      <w:rFonts w:ascii="宋体" w:hAnsi="宋体"/>
      <w:sz w:val="24"/>
    </w:rPr>
  </w:style>
  <w:style w:type="paragraph" w:styleId="871">
    <w:name w:val="Normal Indent"/>
    <w:basedOn w:val="858"/>
    <w:link w:val="923"/>
    <w:uiPriority w:val="0"/>
    <w:qFormat/>
    <w:pPr>
      <w:ind w:firstLine="420"/>
      <w:jc w:val="left"/>
    </w:pPr>
    <w:rPr>
      <w:rFonts w:ascii="宋体"/>
      <w:sz w:val="24"/>
    </w:rPr>
  </w:style>
  <w:style w:type="paragraph" w:styleId="872">
    <w:name w:val="toc 7"/>
    <w:basedOn w:val="858"/>
    <w:next w:val="858"/>
    <w:uiPriority w:val="0"/>
    <w:qFormat/>
    <w:pPr>
      <w:ind w:left="2520"/>
    </w:pPr>
  </w:style>
  <w:style w:type="paragraph" w:styleId="873">
    <w:name w:val="Caption"/>
    <w:basedOn w:val="858"/>
    <w:next w:val="858"/>
    <w:uiPriority w:val="0"/>
    <w:qFormat/>
    <w:pPr>
      <w:spacing w:line="480" w:lineRule="auto"/>
    </w:pPr>
    <w:rPr>
      <w:rFonts w:ascii="华文中宋" w:hAnsi="华文中宋" w:eastAsia="华文中宋"/>
      <w:sz w:val="36"/>
      <w:szCs w:val="20"/>
    </w:rPr>
  </w:style>
  <w:style w:type="paragraph" w:styleId="874">
    <w:name w:val="Document Map"/>
    <w:basedOn w:val="858"/>
    <w:link w:val="924"/>
    <w:uiPriority w:val="0"/>
    <w:qFormat/>
    <w:pPr>
      <w:shd w:val="clear" w:color="auto" w:fill="000080"/>
    </w:pPr>
  </w:style>
  <w:style w:type="paragraph" w:styleId="875">
    <w:name w:val="annotation text"/>
    <w:basedOn w:val="858"/>
    <w:link w:val="925"/>
    <w:uiPriority w:val="99"/>
    <w:qFormat/>
    <w:pPr>
      <w:jc w:val="left"/>
    </w:pPr>
  </w:style>
  <w:style w:type="paragraph" w:styleId="876">
    <w:name w:val="Body Text 3"/>
    <w:basedOn w:val="858"/>
    <w:link w:val="926"/>
    <w:uiPriority w:val="0"/>
    <w:qFormat/>
    <w:pPr>
      <w:spacing w:after="120"/>
    </w:pPr>
    <w:rPr>
      <w:sz w:val="16"/>
      <w:szCs w:val="16"/>
    </w:rPr>
  </w:style>
  <w:style w:type="paragraph" w:styleId="877">
    <w:name w:val="Body Text Indent"/>
    <w:basedOn w:val="858"/>
    <w:next w:val="858"/>
    <w:link w:val="928"/>
    <w:uiPriority w:val="0"/>
    <w:qFormat/>
    <w:pPr>
      <w:ind w:firstLine="570"/>
      <w:spacing w:line="360" w:lineRule="auto"/>
    </w:pPr>
    <w:rPr>
      <w:sz w:val="24"/>
    </w:rPr>
  </w:style>
  <w:style w:type="paragraph" w:styleId="878">
    <w:name w:val="List 2"/>
    <w:basedOn w:val="858"/>
    <w:uiPriority w:val="0"/>
    <w:qFormat/>
    <w:pPr>
      <w:ind w:left="100" w:hanging="200"/>
    </w:pPr>
  </w:style>
  <w:style w:type="paragraph" w:styleId="879">
    <w:name w:val="Block Text"/>
    <w:basedOn w:val="858"/>
    <w:uiPriority w:val="0"/>
    <w:qFormat/>
    <w:pPr>
      <w:ind w:left="480" w:right="-341" w:firstLine="513"/>
      <w:widowControl/>
    </w:pPr>
    <w:rPr>
      <w:sz w:val="24"/>
      <w:szCs w:val="20"/>
    </w:rPr>
  </w:style>
  <w:style w:type="paragraph" w:styleId="880">
    <w:name w:val="index 4"/>
    <w:basedOn w:val="858"/>
    <w:next w:val="858"/>
    <w:uiPriority w:val="0"/>
    <w:qFormat/>
    <w:pPr>
      <w:ind w:left="600"/>
    </w:pPr>
    <w:rPr>
      <w:rFonts w:ascii="Verdana" w:hAnsi="Verdana"/>
      <w:szCs w:val="20"/>
    </w:rPr>
  </w:style>
  <w:style w:type="paragraph" w:styleId="881">
    <w:name w:val="toc 5"/>
    <w:basedOn w:val="858"/>
    <w:next w:val="858"/>
    <w:uiPriority w:val="0"/>
    <w:qFormat/>
    <w:pPr>
      <w:ind w:left="1680"/>
    </w:pPr>
  </w:style>
  <w:style w:type="paragraph" w:styleId="882">
    <w:name w:val="toc 3"/>
    <w:basedOn w:val="858"/>
    <w:next w:val="858"/>
    <w:uiPriority w:val="39"/>
    <w:qFormat/>
    <w:pPr>
      <w:ind w:left="840"/>
    </w:pPr>
  </w:style>
  <w:style w:type="paragraph" w:styleId="883">
    <w:name w:val="Plain Text"/>
    <w:basedOn w:val="858"/>
    <w:next w:val="871"/>
    <w:link w:val="929"/>
    <w:uiPriority w:val="99"/>
    <w:qFormat/>
    <w:rPr>
      <w:rFonts w:hint="eastAsia" w:ascii="宋体" w:hAnsi="Courier New"/>
      <w:szCs w:val="20"/>
    </w:rPr>
  </w:style>
  <w:style w:type="paragraph" w:styleId="884">
    <w:name w:val="toc 8"/>
    <w:basedOn w:val="858"/>
    <w:next w:val="858"/>
    <w:uiPriority w:val="0"/>
    <w:qFormat/>
    <w:pPr>
      <w:ind w:left="2940"/>
    </w:pPr>
  </w:style>
  <w:style w:type="paragraph" w:styleId="885">
    <w:name w:val="Date"/>
    <w:basedOn w:val="858"/>
    <w:next w:val="858"/>
    <w:link w:val="930"/>
    <w:uiPriority w:val="0"/>
    <w:qFormat/>
    <w:pPr>
      <w:ind w:left="100"/>
    </w:pPr>
    <w:rPr>
      <w:rFonts w:ascii="仿宋_GB2312" w:hAnsi="宋体" w:eastAsia="仿宋_GB2312"/>
      <w:color w:val="000000"/>
      <w:sz w:val="24"/>
    </w:rPr>
  </w:style>
  <w:style w:type="paragraph" w:styleId="886">
    <w:name w:val="Body Text Indent 2"/>
    <w:basedOn w:val="858"/>
    <w:link w:val="931"/>
    <w:uiPriority w:val="0"/>
    <w:qFormat/>
    <w:pPr>
      <w:ind w:firstLine="480"/>
    </w:pPr>
    <w:rPr>
      <w:rFonts w:ascii="仿宋_GB2312" w:eastAsia="仿宋_GB2312"/>
      <w:sz w:val="24"/>
    </w:rPr>
  </w:style>
  <w:style w:type="paragraph" w:styleId="887">
    <w:name w:val="Balloon Text"/>
    <w:basedOn w:val="858"/>
    <w:link w:val="932"/>
    <w:uiPriority w:val="0"/>
    <w:qFormat/>
    <w:rPr>
      <w:sz w:val="18"/>
      <w:szCs w:val="18"/>
    </w:rPr>
  </w:style>
  <w:style w:type="paragraph" w:styleId="888">
    <w:name w:val="Footer"/>
    <w:basedOn w:val="858"/>
    <w:link w:val="933"/>
    <w:uiPriority w:val="99"/>
    <w:qFormat/>
    <w:pPr>
      <w:jc w:val="left"/>
      <w:tabs>
        <w:tab w:val="center" w:pos="4153" w:leader="none"/>
        <w:tab w:val="right" w:pos="8306" w:leader="none"/>
      </w:tabs>
    </w:pPr>
    <w:rPr>
      <w:rFonts w:ascii="宋体"/>
      <w:sz w:val="18"/>
      <w:szCs w:val="20"/>
    </w:rPr>
  </w:style>
  <w:style w:type="paragraph" w:styleId="889">
    <w:name w:val="Header"/>
    <w:basedOn w:val="858"/>
    <w:link w:val="934"/>
    <w:uiPriority w:val="0"/>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58"/>
    <w:next w:val="858"/>
    <w:uiPriority w:val="39"/>
    <w:qFormat/>
    <w:pPr>
      <w:spacing w:line="300" w:lineRule="auto"/>
      <w:tabs>
        <w:tab w:val="left" w:pos="1050" w:leader="none"/>
        <w:tab w:val="right" w:pos="8937" w:leader="dot"/>
      </w:tabs>
    </w:pPr>
    <w:rPr>
      <w:rFonts w:ascii="宋体" w:hAnsi="宋体"/>
      <w:b/>
      <w:sz w:val="24"/>
    </w:rPr>
  </w:style>
  <w:style w:type="paragraph" w:styleId="891">
    <w:name w:val="toc 4"/>
    <w:basedOn w:val="858"/>
    <w:next w:val="858"/>
    <w:uiPriority w:val="0"/>
    <w:qFormat/>
    <w:pPr>
      <w:ind w:left="1260"/>
    </w:pPr>
  </w:style>
  <w:style w:type="paragraph" w:styleId="892">
    <w:name w:val="Subtitle"/>
    <w:basedOn w:val="858"/>
    <w:next w:val="858"/>
    <w:uiPriority w:val="0"/>
    <w:qFormat/>
    <w:pPr>
      <w:numPr>
        <w:ilvl w:val="0"/>
        <w:numId w:val="1"/>
      </w:numPr>
      <w:ind w:left="0" w:firstLine="0"/>
      <w:jc w:val="left"/>
      <w:spacing w:before="240" w:after="60"/>
      <w:outlineLvl w:val="0"/>
    </w:pPr>
    <w:rPr>
      <w:rFonts w:ascii="Cambria" w:hAnsi="Cambria"/>
      <w:b/>
      <w:bCs/>
      <w:sz w:val="30"/>
      <w:szCs w:val="32"/>
    </w:rPr>
  </w:style>
  <w:style w:type="paragraph" w:styleId="893">
    <w:name w:val="List"/>
    <w:basedOn w:val="858"/>
    <w:uiPriority w:val="0"/>
    <w:qFormat/>
    <w:pPr>
      <w:contextualSpacing/>
      <w:ind w:left="200" w:hanging="200"/>
    </w:pPr>
  </w:style>
  <w:style w:type="paragraph" w:styleId="894">
    <w:name w:val="toc 6"/>
    <w:basedOn w:val="858"/>
    <w:next w:val="858"/>
    <w:uiPriority w:val="0"/>
    <w:qFormat/>
    <w:pPr>
      <w:ind w:left="2100"/>
    </w:pPr>
  </w:style>
  <w:style w:type="paragraph" w:styleId="895">
    <w:name w:val="Body Text Indent 3"/>
    <w:basedOn w:val="858"/>
    <w:link w:val="935"/>
    <w:uiPriority w:val="0"/>
    <w:qFormat/>
    <w:pPr>
      <w:ind w:left="720" w:firstLine="480"/>
      <w:jc w:val="left"/>
      <w:spacing w:before="120" w:line="22" w:lineRule="atLeast"/>
    </w:pPr>
    <w:rPr>
      <w:rFonts w:ascii="宋体"/>
      <w:sz w:val="24"/>
      <w:szCs w:val="20"/>
    </w:rPr>
  </w:style>
  <w:style w:type="paragraph" w:styleId="896">
    <w:name w:val="toc 2"/>
    <w:basedOn w:val="858"/>
    <w:next w:val="858"/>
    <w:uiPriority w:val="39"/>
    <w:qFormat/>
    <w:pPr>
      <w:ind w:left="420"/>
      <w:spacing w:line="312" w:lineRule="auto"/>
      <w:tabs>
        <w:tab w:val="right" w:pos="8937" w:leader="dot"/>
      </w:tabs>
    </w:pPr>
  </w:style>
  <w:style w:type="paragraph" w:styleId="897">
    <w:name w:val="toc 9"/>
    <w:basedOn w:val="858"/>
    <w:next w:val="858"/>
    <w:uiPriority w:val="0"/>
    <w:qFormat/>
    <w:pPr>
      <w:ind w:left="3360"/>
    </w:pPr>
  </w:style>
  <w:style w:type="paragraph" w:styleId="898">
    <w:name w:val="HTML Preformatted"/>
    <w:basedOn w:val="858"/>
    <w:link w:val="9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9">
    <w:name w:val="Normal (Web)"/>
    <w:basedOn w:val="858"/>
    <w:uiPriority w:val="0"/>
    <w:unhideWhenUsed/>
    <w:qFormat/>
    <w:pPr>
      <w:jc w:val="left"/>
      <w:spacing w:before="100" w:beforeAutospacing="1" w:after="100" w:afterAutospacing="1"/>
      <w:widowControl/>
    </w:pPr>
    <w:rPr>
      <w:rFonts w:ascii="宋体" w:hAnsi="宋体" w:cs="宋体"/>
      <w:sz w:val="24"/>
    </w:rPr>
  </w:style>
  <w:style w:type="paragraph" w:styleId="900">
    <w:name w:val="index 1"/>
    <w:basedOn w:val="858"/>
    <w:next w:val="858"/>
    <w:uiPriority w:val="0"/>
    <w:qFormat/>
    <w:rPr>
      <w:szCs w:val="20"/>
    </w:rPr>
  </w:style>
  <w:style w:type="paragraph" w:styleId="901">
    <w:name w:val="Title"/>
    <w:basedOn w:val="858"/>
    <w:link w:val="937"/>
    <w:uiPriority w:val="0"/>
    <w:qFormat/>
    <w:pPr>
      <w:jc w:val="center"/>
      <w:outlineLvl w:val="0"/>
    </w:pPr>
    <w:rPr>
      <w:b/>
      <w:sz w:val="32"/>
      <w:szCs w:val="20"/>
    </w:rPr>
  </w:style>
  <w:style w:type="paragraph" w:styleId="902">
    <w:name w:val="annotation subject"/>
    <w:basedOn w:val="875"/>
    <w:next w:val="875"/>
    <w:link w:val="938"/>
    <w:uiPriority w:val="0"/>
    <w:qFormat/>
    <w:rPr>
      <w:b/>
      <w:bCs/>
    </w:rPr>
  </w:style>
  <w:style w:type="paragraph" w:styleId="903">
    <w:name w:val="Body Text First Indent"/>
    <w:basedOn w:val="870"/>
    <w:uiPriority w:val="99"/>
    <w:unhideWhenUsed/>
    <w:qFormat/>
    <w:pPr>
      <w:ind w:firstLine="420"/>
    </w:pPr>
  </w:style>
  <w:style w:type="paragraph" w:styleId="904">
    <w:name w:val="Body Text First Indent 2"/>
    <w:basedOn w:val="877"/>
    <w:link w:val="939"/>
    <w:uiPriority w:val="0"/>
    <w:qFormat/>
    <w:pPr>
      <w:ind w:left="420" w:firstLine="420"/>
      <w:spacing w:after="120" w:line="480" w:lineRule="exact"/>
    </w:pPr>
    <w:rPr>
      <w:szCs w:val="20"/>
    </w:rPr>
  </w:style>
  <w:style w:type="table" w:styleId="905">
    <w:name w:val="Table Grid"/>
    <w:basedOn w:val="86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6">
    <w:name w:val="Medium Grid 1 Accent 2"/>
    <w:basedOn w:val="869"/>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7">
    <w:name w:val="Strong"/>
    <w:uiPriority w:val="22"/>
    <w:qFormat/>
    <w:rPr>
      <w:b/>
      <w:bCs/>
    </w:rPr>
  </w:style>
  <w:style w:type="character" w:styleId="908">
    <w:name w:val="page number"/>
    <w:uiPriority w:val="0"/>
    <w:qFormat/>
  </w:style>
  <w:style w:type="character" w:styleId="909">
    <w:name w:val="FollowedHyperlink"/>
    <w:uiPriority w:val="0"/>
    <w:qFormat/>
    <w:rPr>
      <w:color w:val="800080"/>
      <w:u w:val="single"/>
    </w:rPr>
  </w:style>
  <w:style w:type="character" w:styleId="910">
    <w:name w:val="Emphasis"/>
    <w:uiPriority w:val="20"/>
    <w:qFormat/>
    <w:rPr>
      <w:color w:val="cc0033"/>
    </w:rPr>
  </w:style>
  <w:style w:type="character" w:styleId="911">
    <w:name w:val="Hyperlink"/>
    <w:uiPriority w:val="99"/>
    <w:qFormat/>
    <w:rPr>
      <w:color w:val="0000ff"/>
      <w:u w:val="single"/>
    </w:rPr>
  </w:style>
  <w:style w:type="character" w:styleId="912">
    <w:name w:val="annotation reference"/>
    <w:uiPriority w:val="99"/>
    <w:qFormat/>
    <w:rPr>
      <w:sz w:val="21"/>
      <w:szCs w:val="21"/>
    </w:rPr>
  </w:style>
  <w:style w:type="character" w:styleId="913">
    <w:name w:val="HTML Cite"/>
    <w:uiPriority w:val="0"/>
    <w:qFormat/>
    <w:rPr>
      <w:i/>
      <w:iCs/>
    </w:rPr>
  </w:style>
  <w:style w:type="character" w:styleId="914" w:customStyle="1">
    <w:name w:val="标题 1 字符"/>
    <w:link w:val="859"/>
    <w:uiPriority w:val="0"/>
    <w:qFormat/>
    <w:rPr>
      <w:rFonts w:ascii="宋体"/>
      <w:b/>
      <w:sz w:val="32"/>
    </w:rPr>
  </w:style>
  <w:style w:type="character" w:styleId="915" w:customStyle="1">
    <w:name w:val="标题 2 字符"/>
    <w:link w:val="860"/>
    <w:uiPriority w:val="0"/>
    <w:qFormat/>
    <w:rPr>
      <w:rFonts w:ascii="Arial" w:hAnsi="Arial" w:eastAsia="黑体"/>
      <w:b/>
      <w:sz w:val="30"/>
      <w:lang w:val="en-US" w:eastAsia="zh-CN" w:bidi="ar-SA"/>
    </w:rPr>
  </w:style>
  <w:style w:type="character" w:styleId="916" w:customStyle="1">
    <w:name w:val="标题 3 字符"/>
    <w:link w:val="861"/>
    <w:uiPriority w:val="0"/>
    <w:qFormat/>
    <w:rPr>
      <w:rFonts w:ascii="宋体" w:eastAsia="宋体"/>
      <w:b/>
      <w:sz w:val="24"/>
      <w:u w:val="single"/>
      <w:lang w:val="en-US" w:eastAsia="zh-CN" w:bidi="ar-SA"/>
    </w:rPr>
  </w:style>
  <w:style w:type="character" w:styleId="917" w:customStyle="1">
    <w:name w:val="标题 4 字符"/>
    <w:link w:val="862"/>
    <w:uiPriority w:val="0"/>
    <w:qFormat/>
    <w:rPr>
      <w:rFonts w:ascii="Arial" w:hAnsi="Arial" w:eastAsia="黑体"/>
      <w:b/>
      <w:sz w:val="28"/>
    </w:rPr>
  </w:style>
  <w:style w:type="character" w:styleId="918" w:customStyle="1">
    <w:name w:val="标题 5 字符"/>
    <w:link w:val="863"/>
    <w:uiPriority w:val="0"/>
    <w:qFormat/>
    <w:rPr>
      <w:b/>
      <w:sz w:val="28"/>
    </w:rPr>
  </w:style>
  <w:style w:type="character" w:styleId="919" w:customStyle="1">
    <w:name w:val="标题 6 字符"/>
    <w:link w:val="864"/>
    <w:uiPriority w:val="0"/>
    <w:qFormat/>
    <w:rPr>
      <w:rFonts w:ascii="Arial" w:hAnsi="Arial" w:eastAsia="黑体"/>
      <w:b/>
      <w:sz w:val="24"/>
    </w:rPr>
  </w:style>
  <w:style w:type="character" w:styleId="920" w:customStyle="1">
    <w:name w:val="标题 7 字符"/>
    <w:link w:val="865"/>
    <w:uiPriority w:val="0"/>
    <w:qFormat/>
    <w:rPr>
      <w:b/>
      <w:sz w:val="24"/>
    </w:rPr>
  </w:style>
  <w:style w:type="character" w:styleId="921" w:customStyle="1">
    <w:name w:val="标题 8 字符"/>
    <w:link w:val="866"/>
    <w:uiPriority w:val="0"/>
    <w:qFormat/>
    <w:rPr>
      <w:rFonts w:ascii="Arial" w:hAnsi="Arial" w:eastAsia="黑体"/>
      <w:sz w:val="24"/>
    </w:rPr>
  </w:style>
  <w:style w:type="character" w:styleId="922" w:customStyle="1">
    <w:name w:val="标题 9 字符"/>
    <w:link w:val="867"/>
    <w:uiPriority w:val="0"/>
    <w:qFormat/>
    <w:rPr>
      <w:rFonts w:ascii="Arial" w:hAnsi="Arial" w:eastAsia="黑体"/>
      <w:sz w:val="21"/>
    </w:rPr>
  </w:style>
  <w:style w:type="character" w:styleId="923" w:customStyle="1">
    <w:name w:val="正文缩进 字符1"/>
    <w:link w:val="871"/>
    <w:uiPriority w:val="0"/>
    <w:qFormat/>
    <w:rPr>
      <w:rFonts w:ascii="宋体" w:eastAsia="宋体"/>
      <w:sz w:val="24"/>
      <w:szCs w:val="24"/>
      <w:lang w:val="en-US" w:eastAsia="zh-CN" w:bidi="ar-SA"/>
    </w:rPr>
  </w:style>
  <w:style w:type="character" w:styleId="924" w:customStyle="1">
    <w:name w:val="文档结构图 字符"/>
    <w:link w:val="874"/>
    <w:uiPriority w:val="0"/>
    <w:qFormat/>
    <w:rPr>
      <w:sz w:val="21"/>
      <w:szCs w:val="24"/>
      <w:shd w:val="clear" w:color="auto" w:fill="000080"/>
    </w:rPr>
  </w:style>
  <w:style w:type="character" w:styleId="925" w:customStyle="1">
    <w:name w:val="批注文字 字符1"/>
    <w:link w:val="875"/>
    <w:uiPriority w:val="99"/>
    <w:qFormat/>
    <w:rPr>
      <w:sz w:val="21"/>
      <w:szCs w:val="24"/>
    </w:rPr>
  </w:style>
  <w:style w:type="character" w:styleId="926" w:customStyle="1">
    <w:name w:val="正文文本 3 字符"/>
    <w:link w:val="876"/>
    <w:uiPriority w:val="0"/>
    <w:qFormat/>
    <w:rPr>
      <w:sz w:val="16"/>
      <w:szCs w:val="16"/>
    </w:rPr>
  </w:style>
  <w:style w:type="character" w:styleId="927" w:customStyle="1">
    <w:name w:val="正文文本 字符"/>
    <w:link w:val="870"/>
    <w:uiPriority w:val="0"/>
    <w:qFormat/>
    <w:rPr>
      <w:rFonts w:ascii="宋体" w:hAnsi="宋体"/>
      <w:sz w:val="24"/>
      <w:szCs w:val="24"/>
    </w:rPr>
  </w:style>
  <w:style w:type="character" w:styleId="928" w:customStyle="1">
    <w:name w:val="正文文本缩进 字符"/>
    <w:link w:val="877"/>
    <w:uiPriority w:val="0"/>
    <w:qFormat/>
    <w:rPr>
      <w:rFonts w:eastAsia="宋体"/>
      <w:sz w:val="24"/>
      <w:szCs w:val="24"/>
      <w:lang w:val="en-US" w:eastAsia="zh-CN" w:bidi="ar-SA"/>
    </w:rPr>
  </w:style>
  <w:style w:type="character" w:styleId="929" w:customStyle="1">
    <w:name w:val="纯文本 字符2"/>
    <w:link w:val="883"/>
    <w:uiPriority w:val="0"/>
    <w:qFormat/>
    <w:rPr>
      <w:rFonts w:hint="eastAsia" w:ascii="宋体" w:hAnsi="Courier New" w:eastAsia="宋体" w:cs="宋体"/>
      <w:sz w:val="21"/>
    </w:rPr>
  </w:style>
  <w:style w:type="character" w:styleId="930" w:customStyle="1">
    <w:name w:val="日期 字符"/>
    <w:link w:val="885"/>
    <w:uiPriority w:val="0"/>
    <w:qFormat/>
    <w:rPr>
      <w:rFonts w:ascii="仿宋_GB2312" w:hAnsi="宋体" w:eastAsia="仿宋_GB2312"/>
      <w:color w:val="000000"/>
      <w:sz w:val="24"/>
      <w:szCs w:val="24"/>
    </w:rPr>
  </w:style>
  <w:style w:type="character" w:styleId="931" w:customStyle="1">
    <w:name w:val="正文文本缩进 2 字符"/>
    <w:link w:val="886"/>
    <w:uiPriority w:val="0"/>
    <w:qFormat/>
    <w:rPr>
      <w:rFonts w:ascii="仿宋_GB2312" w:eastAsia="仿宋_GB2312"/>
      <w:sz w:val="24"/>
      <w:szCs w:val="24"/>
    </w:rPr>
  </w:style>
  <w:style w:type="character" w:styleId="932" w:customStyle="1">
    <w:name w:val="批注框文本 字符"/>
    <w:link w:val="887"/>
    <w:uiPriority w:val="0"/>
    <w:qFormat/>
    <w:rPr>
      <w:sz w:val="18"/>
      <w:szCs w:val="18"/>
    </w:rPr>
  </w:style>
  <w:style w:type="character" w:styleId="933" w:customStyle="1">
    <w:name w:val="页脚 字符"/>
    <w:link w:val="888"/>
    <w:uiPriority w:val="99"/>
    <w:qFormat/>
    <w:rPr>
      <w:rFonts w:ascii="宋体" w:eastAsia="宋体"/>
      <w:sz w:val="18"/>
      <w:lang w:val="en-US" w:eastAsia="zh-CN" w:bidi="ar-SA"/>
    </w:rPr>
  </w:style>
  <w:style w:type="character" w:styleId="934" w:customStyle="1">
    <w:name w:val="页眉 字符"/>
    <w:link w:val="889"/>
    <w:uiPriority w:val="0"/>
    <w:qFormat/>
    <w:rPr>
      <w:rFonts w:eastAsia="宋体"/>
      <w:sz w:val="18"/>
      <w:szCs w:val="18"/>
      <w:lang w:val="en-US" w:eastAsia="zh-CN" w:bidi="ar-SA"/>
    </w:rPr>
  </w:style>
  <w:style w:type="character" w:styleId="935" w:customStyle="1">
    <w:name w:val="正文文本缩进 3 字符"/>
    <w:link w:val="895"/>
    <w:uiPriority w:val="0"/>
    <w:qFormat/>
    <w:rPr>
      <w:rFonts w:ascii="宋体"/>
      <w:sz w:val="24"/>
    </w:rPr>
  </w:style>
  <w:style w:type="character" w:styleId="936" w:customStyle="1">
    <w:name w:val="HTML 预设格式 字符"/>
    <w:link w:val="898"/>
    <w:uiPriority w:val="0"/>
    <w:qFormat/>
    <w:rPr>
      <w:rFonts w:ascii="宋体" w:hAnsi="宋体" w:cs="宋体"/>
      <w:sz w:val="24"/>
      <w:szCs w:val="24"/>
    </w:rPr>
  </w:style>
  <w:style w:type="character" w:styleId="937" w:customStyle="1">
    <w:name w:val="标题 字符"/>
    <w:link w:val="901"/>
    <w:uiPriority w:val="0"/>
    <w:qFormat/>
    <w:rPr>
      <w:b/>
      <w:sz w:val="32"/>
    </w:rPr>
  </w:style>
  <w:style w:type="character" w:styleId="938" w:customStyle="1">
    <w:name w:val="批注主题 字符"/>
    <w:link w:val="902"/>
    <w:uiPriority w:val="0"/>
    <w:qFormat/>
    <w:rPr>
      <w:rFonts w:ascii="Times New Roman" w:hAnsi="Times New Roman" w:eastAsia="宋体" w:cs="Times New Roman"/>
      <w:b/>
      <w:bCs/>
      <w:sz w:val="21"/>
      <w:szCs w:val="24"/>
      <w:lang w:val="en-US" w:eastAsia="zh-CN" w:bidi="ar-SA"/>
    </w:rPr>
  </w:style>
  <w:style w:type="character" w:styleId="939" w:customStyle="1">
    <w:name w:val="正文首行缩进 2 字符"/>
    <w:link w:val="904"/>
    <w:uiPriority w:val="0"/>
    <w:qFormat/>
    <w:rPr>
      <w:rFonts w:eastAsia="宋体"/>
      <w:sz w:val="24"/>
      <w:szCs w:val="24"/>
      <w:lang w:val="en-US" w:eastAsia="zh-CN" w:bidi="ar-SA"/>
    </w:rPr>
  </w:style>
  <w:style w:type="character" w:styleId="940" w:customStyle="1">
    <w:name w:val="标题 2 Char"/>
    <w:uiPriority w:val="0"/>
    <w:qFormat/>
    <w:rPr>
      <w:rFonts w:ascii="Arial" w:hAnsi="Arial" w:eastAsia="黑体"/>
      <w:b/>
      <w:sz w:val="30"/>
      <w:lang w:val="en-US" w:eastAsia="zh-CN" w:bidi="ar-SA"/>
    </w:rPr>
  </w:style>
  <w:style w:type="paragraph" w:styleId="941" w:customStyle="1">
    <w:name w:val="Default"/>
    <w:next w:val="858"/>
    <w:uiPriority w:val="0"/>
    <w:qFormat/>
    <w:pPr>
      <w:widowControl w:val="off"/>
    </w:pPr>
    <w:rPr>
      <w:rFonts w:ascii="Symbol" w:hAnsi="Symbol" w:eastAsia="宋体" w:cs="Symbol"/>
      <w:color w:val="000000"/>
      <w:sz w:val="24"/>
      <w:szCs w:val="24"/>
      <w:lang w:val="en-US" w:eastAsia="zh-CN" w:bidi="ar-SA"/>
    </w:rPr>
  </w:style>
  <w:style w:type="character" w:styleId="942" w:customStyle="1">
    <w:name w:val="批注文字 字符"/>
    <w:uiPriority w:val="99"/>
    <w:qFormat/>
    <w:rPr>
      <w:rFonts w:ascii="Times New Roman" w:hAnsi="Times New Roman" w:eastAsia="宋体" w:cs="Times New Roman"/>
      <w:sz w:val="24"/>
      <w:lang w:val="en-US" w:eastAsia="zh-CN" w:bidi="ar-SA"/>
    </w:rPr>
  </w:style>
  <w:style w:type="character" w:styleId="943" w:customStyle="1">
    <w:name w:val="c21"/>
    <w:uiPriority w:val="0"/>
    <w:qFormat/>
    <w:rPr>
      <w:rFonts w:hint="default" w:ascii="ˎ̥" w:hAnsi="ˎ̥"/>
      <w:color w:val="000000"/>
      <w:sz w:val="20"/>
      <w:szCs w:val="20"/>
      <w:u w:val="none"/>
    </w:rPr>
  </w:style>
  <w:style w:type="character" w:styleId="944" w:customStyle="1">
    <w:name w:val="title4"/>
    <w:uiPriority w:val="0"/>
    <w:qFormat/>
    <w:rPr>
      <w:b/>
      <w:bCs/>
      <w:color w:val="1d87b3"/>
      <w:sz w:val="15"/>
      <w:szCs w:val="15"/>
    </w:rPr>
  </w:style>
  <w:style w:type="character" w:styleId="945" w:customStyle="1">
    <w:name w:val="标题 2 Char Char"/>
    <w:uiPriority w:val="0"/>
    <w:qFormat/>
    <w:rPr>
      <w:rFonts w:ascii="Arial" w:hAnsi="Arial" w:eastAsia="黑体"/>
      <w:b/>
      <w:bCs/>
      <w:sz w:val="32"/>
      <w:szCs w:val="32"/>
      <w:lang w:val="en-US" w:eastAsia="zh-CN" w:bidi="ar-SA"/>
    </w:rPr>
  </w:style>
  <w:style w:type="character" w:styleId="946" w:customStyle="1">
    <w:name w:val="black1"/>
    <w:uiPriority w:val="0"/>
    <w:qFormat/>
    <w:rPr>
      <w:color w:val="000000"/>
    </w:rPr>
  </w:style>
  <w:style w:type="character" w:styleId="947" w:customStyle="1">
    <w:name w:val="street-address"/>
    <w:uiPriority w:val="0"/>
    <w:qFormat/>
  </w:style>
  <w:style w:type="character" w:styleId="948" w:customStyle="1">
    <w:name w:val="locality"/>
    <w:uiPriority w:val="0"/>
    <w:qFormat/>
  </w:style>
  <w:style w:type="character" w:styleId="949" w:customStyle="1">
    <w:name w:val="正文文本缩进 Char1"/>
    <w:link w:val="950"/>
    <w:uiPriority w:val="0"/>
    <w:qFormat/>
    <w:rPr>
      <w:rFonts w:ascii="宋体" w:hAnsi="宋体" w:eastAsia="宋体"/>
      <w:sz w:val="24"/>
      <w:szCs w:val="24"/>
      <w:lang w:bidi="ar-SA"/>
    </w:rPr>
  </w:style>
  <w:style w:type="paragraph" w:styleId="950" w:customStyle="1">
    <w:name w:val="正文文本缩进1"/>
    <w:basedOn w:val="858"/>
    <w:link w:val="949"/>
    <w:uiPriority w:val="0"/>
    <w:qFormat/>
    <w:pPr>
      <w:ind w:firstLine="480"/>
      <w:spacing w:line="480" w:lineRule="exact"/>
    </w:pPr>
    <w:rPr>
      <w:rFonts w:ascii="宋体" w:hAnsi="宋体"/>
      <w:sz w:val="24"/>
    </w:rPr>
  </w:style>
  <w:style w:type="character" w:styleId="951" w:customStyle="1">
    <w:name w:val="Char Char11"/>
    <w:uiPriority w:val="0"/>
    <w:qFormat/>
    <w:rPr>
      <w:rFonts w:ascii="宋体" w:eastAsia="宋体"/>
      <w:b/>
      <w:sz w:val="24"/>
      <w:u w:val="single"/>
      <w:lang w:val="en-US" w:eastAsia="zh-CN" w:bidi="ar-SA"/>
    </w:rPr>
  </w:style>
  <w:style w:type="character" w:styleId="952" w:customStyle="1">
    <w:name w:val="txt"/>
    <w:uiPriority w:val="0"/>
    <w:qFormat/>
  </w:style>
  <w:style w:type="character" w:styleId="953" w:customStyle="1">
    <w:name w:val="正文缩进 Char Char"/>
    <w:link w:val="954"/>
    <w:uiPriority w:val="0"/>
    <w:qFormat/>
    <w:rPr>
      <w:rFonts w:ascii="宋体" w:eastAsia="宋体"/>
      <w:color w:val="000000"/>
      <w:sz w:val="28"/>
      <w:lang w:bidi="ar-SA"/>
    </w:rPr>
  </w:style>
  <w:style w:type="paragraph" w:styleId="954" w:customStyle="1">
    <w:name w:val="正文缩进1"/>
    <w:basedOn w:val="858"/>
    <w:link w:val="953"/>
    <w:uiPriority w:val="0"/>
    <w:qFormat/>
    <w:pPr>
      <w:ind w:firstLine="567"/>
      <w:spacing w:line="480" w:lineRule="exact"/>
      <w:widowControl/>
    </w:pPr>
    <w:rPr>
      <w:rFonts w:ascii="宋体"/>
      <w:color w:val="000000"/>
      <w:sz w:val="28"/>
      <w:szCs w:val="20"/>
    </w:rPr>
  </w:style>
  <w:style w:type="character" w:styleId="955" w:customStyle="1">
    <w:name w:val="普通文字1 Char1"/>
    <w:uiPriority w:val="0"/>
    <w:qFormat/>
    <w:rPr>
      <w:rFonts w:ascii="宋体" w:hAnsi="Courier New" w:eastAsia="宋体"/>
      <w:sz w:val="21"/>
      <w:lang w:val="en-US" w:eastAsia="zh-CN" w:bidi="ar-SA"/>
    </w:rPr>
  </w:style>
  <w:style w:type="character" w:styleId="956" w:customStyle="1">
    <w:name w:val="chanpin1"/>
    <w:uiPriority w:val="0"/>
    <w:qFormat/>
    <w:rPr>
      <w:rFonts w:hint="default" w:ascii="ˎ̥" w:hAnsi="ˎ̥"/>
      <w:color w:val="000000"/>
      <w:sz w:val="20"/>
      <w:szCs w:val="20"/>
      <w:u w:val="none"/>
    </w:rPr>
  </w:style>
  <w:style w:type="character" w:styleId="957" w:customStyle="1">
    <w:name w:val="列出段落 字符"/>
    <w:link w:val="958"/>
    <w:uiPriority w:val="34"/>
    <w:qFormat/>
    <w:rPr>
      <w:rFonts w:ascii="Calibri" w:hAnsi="Calibri" w:eastAsia="宋体"/>
      <w:sz w:val="21"/>
      <w:szCs w:val="22"/>
      <w:lang w:val="en-US" w:eastAsia="zh-CN" w:bidi="ar-SA"/>
    </w:rPr>
  </w:style>
  <w:style w:type="paragraph" w:styleId="958">
    <w:name w:val="List Paragraph"/>
    <w:basedOn w:val="858"/>
    <w:link w:val="957"/>
    <w:uiPriority w:val="34"/>
    <w:qFormat/>
    <w:pPr>
      <w:ind w:firstLine="420"/>
    </w:pPr>
    <w:rPr>
      <w:rFonts w:ascii="Calibri" w:hAnsi="Calibri"/>
      <w:szCs w:val="22"/>
    </w:rPr>
  </w:style>
  <w:style w:type="character" w:styleId="959" w:customStyle="1">
    <w:name w:val="标题 3 Char Char"/>
    <w:uiPriority w:val="0"/>
    <w:qFormat/>
    <w:rPr>
      <w:rFonts w:eastAsia="宋体"/>
      <w:b/>
      <w:bCs/>
      <w:sz w:val="32"/>
      <w:szCs w:val="32"/>
      <w:lang w:val="en-US" w:eastAsia="zh-CN" w:bidi="ar-SA"/>
    </w:rPr>
  </w:style>
  <w:style w:type="character" w:styleId="960" w:customStyle="1">
    <w:name w:val="段1 Char"/>
    <w:uiPriority w:val="0"/>
    <w:qFormat/>
    <w:rPr>
      <w:rFonts w:ascii="宋体" w:eastAsia="宋体"/>
      <w:sz w:val="24"/>
      <w:lang w:val="en-US" w:eastAsia="zh-CN" w:bidi="ar-SA"/>
    </w:rPr>
  </w:style>
  <w:style w:type="character" w:styleId="961" w:customStyle="1">
    <w:name w:val="chanpin拷贝"/>
    <w:uiPriority w:val="0"/>
    <w:qFormat/>
  </w:style>
  <w:style w:type="character" w:styleId="962" w:customStyle="1">
    <w:name w:val="纯文本 Char1"/>
    <w:uiPriority w:val="0"/>
    <w:qFormat/>
    <w:rPr>
      <w:rFonts w:ascii="宋体" w:hAnsi="Courier New" w:eastAsia="宋体"/>
      <w:sz w:val="21"/>
      <w:lang w:val="en-US" w:eastAsia="zh-CN" w:bidi="ar-SA"/>
    </w:rPr>
  </w:style>
  <w:style w:type="character" w:styleId="963" w:customStyle="1">
    <w:name w:val="apple-style-span"/>
    <w:uiPriority w:val="0"/>
    <w:qFormat/>
    <w:rPr>
      <w:rFonts w:cs="Times New Roman"/>
    </w:rPr>
  </w:style>
  <w:style w:type="paragraph" w:styleId="964" w:customStyle="1">
    <w:name w:val="二级条标题"/>
    <w:basedOn w:val="965"/>
    <w:next w:val="85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65" w:customStyle="1">
    <w:name w:val="一级条标题"/>
    <w:basedOn w:val="966"/>
    <w:next w:val="858"/>
    <w:uiPriority w:val="0"/>
    <w:qFormat/>
    <w:pPr>
      <w:numPr>
        <w:ilvl w:val="1"/>
      </w:numPr>
      <w:ind w:left="0" w:hanging="840"/>
      <w:tabs>
        <w:tab w:val="left" w:pos="360" w:leader="none"/>
        <w:tab w:val="left" w:pos="840" w:leader="none"/>
      </w:tabs>
      <w:outlineLvl w:val="1"/>
    </w:pPr>
  </w:style>
  <w:style w:type="paragraph" w:styleId="966" w:customStyle="1">
    <w:name w:val="章标题"/>
    <w:next w:val="858"/>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67" w:customStyle="1">
    <w:name w:val="font7"/>
    <w:basedOn w:val="858"/>
    <w:uiPriority w:val="0"/>
    <w:qFormat/>
    <w:pPr>
      <w:jc w:val="left"/>
      <w:spacing w:before="100" w:beforeAutospacing="1" w:after="100" w:afterAutospacing="1"/>
      <w:widowControl/>
    </w:pPr>
    <w:rPr>
      <w:rFonts w:eastAsia="Arial Unicode MS"/>
      <w:b/>
      <w:bCs/>
      <w:color w:val="000000"/>
      <w:sz w:val="20"/>
      <w:szCs w:val="20"/>
    </w:rPr>
  </w:style>
  <w:style w:type="paragraph" w:styleId="968" w:customStyle="1">
    <w:name w:val="字元 字元"/>
    <w:basedOn w:val="858"/>
    <w:uiPriority w:val="0"/>
    <w:qFormat/>
    <w:rPr>
      <w:rFonts w:ascii="Tahoma" w:hAnsi="Tahoma"/>
      <w:sz w:val="24"/>
      <w:szCs w:val="20"/>
    </w:rPr>
  </w:style>
  <w:style w:type="paragraph" w:styleId="969" w:customStyle="1">
    <w:name w:val="Char3 Char Char Char"/>
    <w:basedOn w:val="858"/>
    <w:uiPriority w:val="0"/>
    <w:qFormat/>
    <w:rPr>
      <w:rFonts w:ascii="Tahoma" w:hAnsi="Tahoma"/>
      <w:sz w:val="24"/>
      <w:szCs w:val="20"/>
    </w:rPr>
  </w:style>
  <w:style w:type="paragraph" w:styleId="970" w:customStyle="1">
    <w:name w:val="font6"/>
    <w:basedOn w:val="858"/>
    <w:uiPriority w:val="0"/>
    <w:qFormat/>
    <w:pPr>
      <w:jc w:val="left"/>
      <w:spacing w:before="100" w:beforeAutospacing="1" w:after="100" w:afterAutospacing="1"/>
      <w:widowControl/>
    </w:pPr>
    <w:rPr>
      <w:rFonts w:ascii="宋体" w:hAnsi="宋体" w:cs="宋体"/>
      <w:sz w:val="20"/>
      <w:szCs w:val="20"/>
    </w:rPr>
  </w:style>
  <w:style w:type="paragraph" w:styleId="971" w:customStyle="1">
    <w:name w:val="项目编号2"/>
    <w:basedOn w:val="972"/>
    <w:uiPriority w:val="0"/>
    <w:qFormat/>
    <w:pPr>
      <w:numPr>
        <w:numId w:val="3"/>
      </w:numPr>
    </w:pPr>
  </w:style>
  <w:style w:type="paragraph" w:styleId="972" w:customStyle="1">
    <w:name w:val="项目编号1"/>
    <w:basedOn w:val="858"/>
    <w:uiPriority w:val="0"/>
    <w:qFormat/>
    <w:pPr>
      <w:numPr>
        <w:ilvl w:val="0"/>
        <w:numId w:val="4"/>
      </w:numPr>
      <w:spacing w:before="100" w:beforeAutospacing="1" w:after="100" w:afterAutospacing="1" w:line="360" w:lineRule="auto"/>
    </w:pPr>
    <w:rPr>
      <w:sz w:val="24"/>
    </w:rPr>
  </w:style>
  <w:style w:type="paragraph" w:styleId="973" w:customStyle="1">
    <w:name w:val="图中文字"/>
    <w:basedOn w:val="858"/>
    <w:uiPriority w:val="0"/>
    <w:qFormat/>
    <w:pPr>
      <w:jc w:val="center"/>
      <w:spacing w:line="0" w:lineRule="atLeast"/>
    </w:pPr>
    <w:rPr>
      <w:sz w:val="24"/>
      <w:szCs w:val="20"/>
    </w:rPr>
  </w:style>
  <w:style w:type="paragraph" w:styleId="974" w:customStyle="1">
    <w:name w:val="xl46"/>
    <w:basedOn w:val="85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75" w:customStyle="1">
    <w:name w:val="xl25"/>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76" w:customStyle="1">
    <w:name w:val="Char2"/>
    <w:basedOn w:val="858"/>
    <w:uiPriority w:val="0"/>
    <w:qFormat/>
    <w:rPr>
      <w:rFonts w:ascii="Tahoma" w:hAnsi="Tahoma"/>
      <w:sz w:val="24"/>
      <w:szCs w:val="20"/>
    </w:rPr>
  </w:style>
  <w:style w:type="paragraph" w:styleId="977" w:customStyle="1">
    <w:name w:val="xl35"/>
    <w:basedOn w:val="85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8" w:customStyle="1">
    <w:name w:val="xl40"/>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79" w:customStyle="1">
    <w:name w:val="xl52"/>
    <w:basedOn w:val="85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80" w:customStyle="1">
    <w:name w:val="xl43"/>
    <w:basedOn w:val="85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81" w:customStyle="1">
    <w:name w:val="background1"/>
    <w:basedOn w:val="858"/>
    <w:uiPriority w:val="0"/>
    <w:qFormat/>
    <w:pPr>
      <w:jc w:val="left"/>
      <w:spacing w:before="100" w:beforeAutospacing="1" w:after="100" w:afterAutospacing="1"/>
      <w:widowControl/>
    </w:pPr>
    <w:rPr>
      <w:rFonts w:ascii="宋体" w:hAnsi="宋体" w:cs="宋体"/>
      <w:sz w:val="24"/>
    </w:rPr>
  </w:style>
  <w:style w:type="paragraph" w:styleId="982" w:customStyle="1">
    <w:name w:val="Char Char Char Char Char Char Char"/>
    <w:basedOn w:val="858"/>
    <w:uiPriority w:val="0"/>
    <w:qFormat/>
    <w:pPr>
      <w:ind w:firstLine="200"/>
      <w:spacing w:line="360" w:lineRule="auto"/>
    </w:pPr>
    <w:rPr>
      <w:rFonts w:eastAsia="仿宋_GB2312"/>
      <w:sz w:val="24"/>
    </w:rPr>
  </w:style>
  <w:style w:type="paragraph" w:styleId="983" w:customStyle="1">
    <w:name w:val="xl38"/>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84" w:customStyle="1">
    <w:name w:val="xl36"/>
    <w:basedOn w:val="85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5" w:customStyle="1">
    <w:name w:val="正文 + 宋体"/>
    <w:basedOn w:val="858"/>
    <w:uiPriority w:val="0"/>
    <w:qFormat/>
    <w:pPr>
      <w:ind w:left="360" w:hanging="360"/>
      <w:jc w:val="left"/>
      <w:widowControl/>
    </w:pPr>
    <w:rPr>
      <w:rFonts w:ascii="宋体" w:hAnsi="宋体" w:cs="宋体"/>
      <w:b/>
      <w:bCs/>
      <w:color w:val="000000"/>
      <w:sz w:val="18"/>
      <w:szCs w:val="18"/>
    </w:rPr>
  </w:style>
  <w:style w:type="paragraph" w:styleId="986" w:customStyle="1">
    <w:name w:val="正文列项_数字"/>
    <w:basedOn w:val="858"/>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987" w:customStyle="1">
    <w:name w:val="xl39"/>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8" w:customStyle="1">
    <w:name w:val="xl37"/>
    <w:basedOn w:val="85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9" w:customStyle="1">
    <w:name w:val="xl32"/>
    <w:basedOn w:val="85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0" w:customStyle="1">
    <w:name w:val="font8"/>
    <w:basedOn w:val="858"/>
    <w:uiPriority w:val="0"/>
    <w:qFormat/>
    <w:pPr>
      <w:jc w:val="left"/>
      <w:spacing w:before="100" w:beforeAutospacing="1" w:after="100" w:afterAutospacing="1"/>
      <w:widowControl/>
    </w:pPr>
    <w:rPr>
      <w:sz w:val="36"/>
      <w:szCs w:val="36"/>
    </w:rPr>
  </w:style>
  <w:style w:type="paragraph" w:styleId="991" w:customStyle="1">
    <w:name w:val="Char"/>
    <w:basedOn w:val="858"/>
    <w:uiPriority w:val="0"/>
    <w:qFormat/>
    <w:pPr>
      <w:tabs>
        <w:tab w:val="left" w:pos="360" w:leader="none"/>
      </w:tabs>
    </w:pPr>
    <w:rPr>
      <w:sz w:val="24"/>
    </w:rPr>
  </w:style>
  <w:style w:type="paragraph" w:styleId="992" w:customStyle="1">
    <w:name w:val="Char Char Char Char Char Char Char Char Char Char Char Char Char Char Char Char"/>
    <w:basedOn w:val="858"/>
    <w:uiPriority w:val="0"/>
    <w:qFormat/>
    <w:pPr>
      <w:jc w:val="center"/>
      <w:spacing w:after="160" w:line="240" w:lineRule="exact"/>
      <w:widowControl/>
    </w:pPr>
    <w:rPr>
      <w:rFonts w:ascii="宋体" w:hAnsi="宋体"/>
      <w:b/>
      <w:sz w:val="30"/>
      <w:szCs w:val="30"/>
      <w:lang w:eastAsia="en-US"/>
    </w:rPr>
  </w:style>
  <w:style w:type="paragraph" w:styleId="993" w:customStyle="1">
    <w:name w:val="xl45"/>
    <w:basedOn w:val="85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94" w:customStyle="1">
    <w:name w:val="Char Char1 Char Char Char Char Char Char"/>
    <w:basedOn w:val="858"/>
    <w:uiPriority w:val="0"/>
    <w:qFormat/>
    <w:pPr>
      <w:jc w:val="left"/>
      <w:spacing w:after="160" w:line="240" w:lineRule="exact"/>
      <w:widowControl/>
    </w:pPr>
    <w:rPr>
      <w:rFonts w:ascii="Verdana" w:hAnsi="Verdana" w:eastAsia="仿宋_GB2312"/>
      <w:sz w:val="24"/>
      <w:szCs w:val="20"/>
      <w:lang w:eastAsia="en-US"/>
    </w:rPr>
  </w:style>
  <w:style w:type="paragraph" w:styleId="995" w:customStyle="1">
    <w:name w:val="Char Char1"/>
    <w:basedOn w:val="874"/>
    <w:uiPriority w:val="0"/>
    <w:qFormat/>
    <w:rPr>
      <w:rFonts w:ascii="Tahoma" w:hAnsi="Tahoma"/>
      <w:sz w:val="24"/>
    </w:rPr>
  </w:style>
  <w:style w:type="paragraph" w:styleId="996" w:customStyle="1">
    <w:name w:val="xl26"/>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97" w:customStyle="1">
    <w:name w:val="xl30"/>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8" w:customStyle="1">
    <w:name w:val="xl41"/>
    <w:basedOn w:val="85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99" w:customStyle="1">
    <w:name w:val="样式 宋体 五号 行距: 单倍行距"/>
    <w:basedOn w:val="858"/>
    <w:uiPriority w:val="0"/>
    <w:qFormat/>
    <w:pPr>
      <w:jc w:val="left"/>
    </w:pPr>
    <w:rPr>
      <w:rFonts w:ascii="宋体" w:hAnsi="宋体"/>
      <w:szCs w:val="20"/>
    </w:rPr>
  </w:style>
  <w:style w:type="paragraph" w:styleId="1000" w:customStyle="1">
    <w:name w:val="Char1 Char Char Char1"/>
    <w:basedOn w:val="858"/>
    <w:uiPriority w:val="0"/>
    <w:qFormat/>
    <w:rPr>
      <w:rFonts w:ascii="Tahoma" w:hAnsi="Tahoma" w:cs="仿宋_GB2312"/>
      <w:sz w:val="24"/>
      <w:szCs w:val="28"/>
    </w:rPr>
  </w:style>
  <w:style w:type="paragraph" w:styleId="1001" w:customStyle="1">
    <w:name w:val="四级条标题"/>
    <w:basedOn w:val="1002"/>
    <w:next w:val="858"/>
    <w:uiPriority w:val="0"/>
    <w:qFormat/>
    <w:pPr>
      <w:numPr>
        <w:ilvl w:val="4"/>
      </w:numPr>
      <w:ind w:left="0" w:hanging="840"/>
      <w:tabs>
        <w:tab w:val="left" w:pos="360" w:leader="none"/>
        <w:tab w:val="left" w:pos="840" w:leader="none"/>
      </w:tabs>
      <w:outlineLvl w:val="4"/>
    </w:pPr>
  </w:style>
  <w:style w:type="paragraph" w:styleId="1002" w:customStyle="1">
    <w:name w:val="三级条标题"/>
    <w:basedOn w:val="964"/>
    <w:next w:val="858"/>
    <w:uiPriority w:val="0"/>
    <w:qFormat/>
    <w:pPr>
      <w:numPr>
        <w:ilvl w:val="3"/>
        <w:numId w:val="2"/>
      </w:numPr>
      <w:ind w:left="0" w:hanging="840"/>
      <w:outlineLvl w:val="3"/>
    </w:pPr>
  </w:style>
  <w:style w:type="paragraph" w:styleId="100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04" w:customStyle="1">
    <w:name w:val="样式 标题 2 + 宋体 五号 行距: 单倍行距"/>
    <w:basedOn w:val="860"/>
    <w:uiPriority w:val="0"/>
    <w:qFormat/>
    <w:pPr>
      <w:numPr>
        <w:ilvl w:val="1"/>
        <w:numId w:val="5"/>
      </w:numPr>
      <w:jc w:val="left"/>
      <w:spacing w:before="260" w:after="260" w:line="240" w:lineRule="auto"/>
    </w:pPr>
    <w:rPr>
      <w:rFonts w:ascii="宋体" w:hAnsi="宋体" w:eastAsia="宋体"/>
      <w:bCs/>
      <w:sz w:val="21"/>
    </w:rPr>
  </w:style>
  <w:style w:type="paragraph" w:styleId="1005" w:customStyle="1">
    <w:name w:val="List Paragraph1"/>
    <w:basedOn w:val="858"/>
    <w:uiPriority w:val="0"/>
    <w:qFormat/>
    <w:pPr>
      <w:ind w:firstLine="420"/>
    </w:pPr>
    <w:rPr>
      <w:rFonts w:ascii="Calibri" w:hAnsi="Calibri"/>
      <w:szCs w:val="22"/>
    </w:rPr>
  </w:style>
  <w:style w:type="paragraph" w:styleId="1006" w:customStyle="1">
    <w:name w:val="项目符号1"/>
    <w:basedOn w:val="1007"/>
    <w:uiPriority w:val="0"/>
    <w:qFormat/>
    <w:pPr>
      <w:ind w:left="-25" w:firstLine="0"/>
    </w:pPr>
  </w:style>
  <w:style w:type="paragraph" w:styleId="1007" w:customStyle="1">
    <w:name w:val="正文文本样式"/>
    <w:basedOn w:val="858"/>
    <w:uiPriority w:val="0"/>
    <w:qFormat/>
    <w:pPr>
      <w:ind w:firstLine="482"/>
      <w:spacing w:line="360" w:lineRule="auto"/>
    </w:pPr>
    <w:rPr>
      <w:rFonts w:cs="宋体"/>
      <w:sz w:val="24"/>
      <w:szCs w:val="20"/>
    </w:rPr>
  </w:style>
  <w:style w:type="paragraph" w:styleId="1008" w:customStyle="1">
    <w:name w:val="xl27"/>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09" w:customStyle="1">
    <w:name w:val="font5"/>
    <w:basedOn w:val="858"/>
    <w:uiPriority w:val="0"/>
    <w:qFormat/>
    <w:pPr>
      <w:jc w:val="left"/>
      <w:spacing w:before="100" w:beforeAutospacing="1" w:after="100" w:afterAutospacing="1"/>
      <w:widowControl/>
    </w:pPr>
    <w:rPr>
      <w:rFonts w:ascii="宋体" w:hAnsi="宋体" w:cs="宋体"/>
      <w:sz w:val="18"/>
      <w:szCs w:val="18"/>
    </w:rPr>
  </w:style>
  <w:style w:type="paragraph" w:styleId="1010" w:customStyle="1">
    <w:name w:val="五级条标题"/>
    <w:basedOn w:val="1001"/>
    <w:next w:val="858"/>
    <w:uiPriority w:val="0"/>
    <w:qFormat/>
    <w:pPr>
      <w:numPr>
        <w:ilvl w:val="5"/>
      </w:numPr>
      <w:ind w:left="0" w:hanging="840"/>
      <w:outlineLvl w:val="5"/>
    </w:pPr>
  </w:style>
  <w:style w:type="paragraph" w:styleId="1011" w:customStyle="1">
    <w:name w:val="xl49"/>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12" w:customStyle="1">
    <w:name w:val="文档正文"/>
    <w:basedOn w:val="858"/>
    <w:uiPriority w:val="0"/>
    <w:qFormat/>
    <w:pPr>
      <w:spacing w:before="120" w:after="120" w:line="180" w:lineRule="auto"/>
    </w:pPr>
    <w:rPr>
      <w:rFonts w:ascii="Arial" w:hAnsi="Arial"/>
      <w:szCs w:val="20"/>
    </w:rPr>
  </w:style>
  <w:style w:type="paragraph" w:styleId="1013" w:customStyle="1">
    <w:name w:val="xl33"/>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14" w:customStyle="1">
    <w:name w:val="xl42"/>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15" w:customStyle="1">
    <w:name w:val="Char Char Char1 Char"/>
    <w:basedOn w:val="858"/>
    <w:uiPriority w:val="0"/>
    <w:qFormat/>
    <w:rPr>
      <w:rFonts w:ascii="Tahoma" w:hAnsi="Tahoma"/>
      <w:sz w:val="24"/>
      <w:szCs w:val="20"/>
    </w:rPr>
  </w:style>
  <w:style w:type="paragraph" w:styleId="1016" w:customStyle="1">
    <w:name w:val="xl44"/>
    <w:basedOn w:val="85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17" w:customStyle="1">
    <w:name w:val="1名"/>
    <w:basedOn w:val="858"/>
    <w:uiPriority w:val="0"/>
    <w:qFormat/>
    <w:pPr>
      <w:numPr>
        <w:ilvl w:val="0"/>
        <w:numId w:val="6"/>
      </w:numPr>
      <w:spacing w:before="120"/>
    </w:pPr>
    <w:rPr>
      <w:rFonts w:ascii="宋体"/>
      <w:sz w:val="28"/>
      <w:szCs w:val="20"/>
    </w:rPr>
  </w:style>
  <w:style w:type="paragraph" w:styleId="1018" w:customStyle="1">
    <w:name w:val="font9"/>
    <w:basedOn w:val="85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19" w:customStyle="1">
    <w:name w:val="Char Char Char1 Char1"/>
    <w:basedOn w:val="858"/>
    <w:uiPriority w:val="0"/>
    <w:qFormat/>
    <w:rPr>
      <w:rFonts w:ascii="Tahoma" w:hAnsi="Tahoma"/>
      <w:sz w:val="24"/>
      <w:szCs w:val="20"/>
    </w:rPr>
  </w:style>
  <w:style w:type="paragraph" w:styleId="1020" w:customStyle="1">
    <w:name w:val="Char Char Char Char Char Char Char Char Char Char"/>
    <w:basedOn w:val="858"/>
    <w:uiPriority w:val="0"/>
    <w:qFormat/>
  </w:style>
  <w:style w:type="paragraph" w:styleId="1021" w:customStyle="1">
    <w:name w:val="Char Char1 Char Char Char Char Char Char Char Char"/>
    <w:basedOn w:val="858"/>
    <w:uiPriority w:val="0"/>
    <w:qFormat/>
    <w:pPr>
      <w:jc w:val="left"/>
      <w:spacing w:after="160" w:line="240" w:lineRule="exact"/>
      <w:widowControl/>
    </w:pPr>
    <w:rPr>
      <w:rFonts w:ascii="Verdana" w:hAnsi="Verdana"/>
      <w:sz w:val="20"/>
      <w:szCs w:val="20"/>
      <w:lang w:eastAsia="en-US"/>
    </w:rPr>
  </w:style>
  <w:style w:type="paragraph" w:styleId="1022" w:customStyle="1">
    <w:name w:val="Char1"/>
    <w:basedOn w:val="858"/>
    <w:uiPriority w:val="0"/>
    <w:qFormat/>
    <w:pPr>
      <w:tabs>
        <w:tab w:val="left" w:pos="360" w:leader="none"/>
      </w:tabs>
    </w:pPr>
    <w:rPr>
      <w:sz w:val="24"/>
    </w:rPr>
  </w:style>
  <w:style w:type="paragraph" w:styleId="1023" w:customStyle="1">
    <w:name w:val="正文列项_字母"/>
    <w:basedOn w:val="858"/>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024" w:customStyle="1">
    <w:name w:val="xl28"/>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5" w:customStyle="1">
    <w:name w:val="xl47"/>
    <w:basedOn w:val="85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6" w:customStyle="1">
    <w:name w:val="默认段落字体 Para Char Char Char Char"/>
    <w:basedOn w:val="858"/>
    <w:uiPriority w:val="0"/>
    <w:qFormat/>
    <w:rPr>
      <w:rFonts w:ascii="Arial" w:hAnsi="Arial" w:cs="Arial"/>
      <w:szCs w:val="21"/>
    </w:rPr>
  </w:style>
  <w:style w:type="paragraph" w:styleId="1027" w:customStyle="1">
    <w:name w:val="xl48"/>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28" w:customStyle="1">
    <w:name w:val="xl31"/>
    <w:basedOn w:val="85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29" w:customStyle="1">
    <w:name w:val="xl53"/>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0" w:customStyle="1">
    <w:name w:val="Char Char Char"/>
    <w:basedOn w:val="858"/>
    <w:uiPriority w:val="0"/>
    <w:qFormat/>
    <w:rPr>
      <w:rFonts w:ascii="Tahoma" w:hAnsi="Tahoma"/>
      <w:sz w:val="24"/>
      <w:szCs w:val="20"/>
    </w:rPr>
  </w:style>
  <w:style w:type="paragraph" w:styleId="1031" w:customStyle="1">
    <w:name w:val="xl50"/>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32" w:customStyle="1">
    <w:name w:val="缺省文本"/>
    <w:basedOn w:val="858"/>
    <w:uiPriority w:val="0"/>
    <w:qFormat/>
    <w:pPr>
      <w:jc w:val="left"/>
    </w:pPr>
    <w:rPr>
      <w:sz w:val="24"/>
    </w:rPr>
  </w:style>
  <w:style w:type="paragraph" w:styleId="1033" w:customStyle="1">
    <w:name w:val="Char Char Char1"/>
    <w:basedOn w:val="858"/>
    <w:uiPriority w:val="0"/>
    <w:qFormat/>
    <w:rPr>
      <w:rFonts w:ascii="Tahoma" w:hAnsi="Tahoma"/>
      <w:sz w:val="24"/>
      <w:szCs w:val="20"/>
    </w:rPr>
  </w:style>
  <w:style w:type="paragraph" w:styleId="1034" w:customStyle="1">
    <w:name w:val="Char Char Char Char Char Char Char1"/>
    <w:basedOn w:val="858"/>
    <w:uiPriority w:val="0"/>
    <w:qFormat/>
    <w:pPr>
      <w:ind w:firstLine="200"/>
      <w:spacing w:line="360" w:lineRule="auto"/>
    </w:pPr>
    <w:rPr>
      <w:rFonts w:eastAsia="仿宋_GB2312"/>
      <w:sz w:val="24"/>
    </w:rPr>
  </w:style>
  <w:style w:type="paragraph" w:styleId="1035" w:customStyle="1">
    <w:name w:val="xl51"/>
    <w:basedOn w:val="85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6" w:customStyle="1">
    <w:name w:val="样式2"/>
    <w:basedOn w:val="900"/>
    <w:uiPriority w:val="0"/>
    <w:qFormat/>
    <w:pPr>
      <w:jc w:val="center"/>
      <w:spacing w:line="360" w:lineRule="auto"/>
    </w:pPr>
    <w:rPr>
      <w:sz w:val="24"/>
    </w:rPr>
  </w:style>
  <w:style w:type="paragraph" w:styleId="1037" w:customStyle="1">
    <w:name w:val="xl24"/>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8" w:customStyle="1">
    <w:name w:val="xl29"/>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39" w:customStyle="1">
    <w:name w:val="正文 + 楷体_GB2312"/>
    <w:basedOn w:val="858"/>
    <w:uiPriority w:val="0"/>
    <w:qFormat/>
    <w:pPr>
      <w:jc w:val="left"/>
      <w:widowControl/>
    </w:pPr>
    <w:rPr>
      <w:rFonts w:ascii="楷体_GB2312" w:eastAsia="楷体_GB2312" w:cs="Arial"/>
      <w:sz w:val="24"/>
    </w:rPr>
  </w:style>
  <w:style w:type="paragraph" w:styleId="1040" w:customStyle="1">
    <w:name w:val="xl34"/>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41" w:customStyle="1">
    <w:name w:val="1 Char Char Char Char"/>
    <w:basedOn w:val="858"/>
    <w:uiPriority w:val="0"/>
    <w:qFormat/>
    <w:rPr>
      <w:rFonts w:ascii="Tahoma" w:hAnsi="Tahoma"/>
      <w:sz w:val="24"/>
      <w:szCs w:val="20"/>
    </w:rPr>
  </w:style>
  <w:style w:type="paragraph" w:styleId="1042" w:customStyle="1">
    <w:name w:val="列出段落1"/>
    <w:basedOn w:val="858"/>
    <w:uiPriority w:val="0"/>
    <w:qFormat/>
    <w:pPr>
      <w:ind w:firstLine="420"/>
    </w:pPr>
    <w:rPr>
      <w:rFonts w:ascii="Calibri" w:hAnsi="Calibri"/>
      <w:szCs w:val="22"/>
    </w:rPr>
  </w:style>
  <w:style w:type="paragraph" w:styleId="1043" w:customStyle="1">
    <w:name w:val="default"/>
    <w:basedOn w:val="858"/>
    <w:uiPriority w:val="0"/>
    <w:qFormat/>
    <w:pPr>
      <w:jc w:val="left"/>
      <w:spacing w:before="100" w:beforeAutospacing="1" w:after="100" w:afterAutospacing="1"/>
      <w:widowControl/>
    </w:pPr>
    <w:rPr>
      <w:rFonts w:ascii="宋体" w:hAnsi="宋体" w:cs="宋体"/>
      <w:sz w:val="24"/>
    </w:rPr>
  </w:style>
  <w:style w:type="paragraph" w:styleId="1044" w:customStyle="1">
    <w:name w:val="字元 字元1"/>
    <w:basedOn w:val="858"/>
    <w:uiPriority w:val="0"/>
    <w:qFormat/>
    <w:rPr>
      <w:rFonts w:ascii="Tahoma" w:hAnsi="Tahoma"/>
      <w:sz w:val="24"/>
      <w:szCs w:val="20"/>
    </w:rPr>
  </w:style>
  <w:style w:type="paragraph" w:styleId="1045" w:customStyle="1">
    <w:name w:val="_Style 160"/>
    <w:uiPriority w:val="0"/>
    <w:qFormat/>
    <w:rPr>
      <w:rFonts w:ascii="Times New Roman" w:hAnsi="Times New Roman" w:eastAsia="宋体" w:cs="Times New Roman"/>
      <w:sz w:val="21"/>
      <w:szCs w:val="24"/>
      <w:lang w:val="en-US" w:eastAsia="zh-CN" w:bidi="ar-SA"/>
    </w:rPr>
  </w:style>
  <w:style w:type="paragraph" w:styleId="1046" w:customStyle="1">
    <w:name w:val="项目编号3"/>
    <w:basedOn w:val="1007"/>
    <w:uiPriority w:val="0"/>
    <w:qFormat/>
    <w:pPr>
      <w:numPr>
        <w:ilvl w:val="0"/>
        <w:numId w:val="7"/>
      </w:numPr>
    </w:pPr>
  </w:style>
  <w:style w:type="paragraph" w:styleId="1047" w:customStyle="1">
    <w:name w:val="Char21"/>
    <w:basedOn w:val="858"/>
    <w:uiPriority w:val="0"/>
    <w:qFormat/>
    <w:rPr>
      <w:rFonts w:ascii="Tahoma" w:hAnsi="Tahoma"/>
      <w:sz w:val="24"/>
      <w:szCs w:val="20"/>
    </w:rPr>
  </w:style>
  <w:style w:type="paragraph" w:styleId="1048" w:customStyle="1">
    <w:name w:val="表格文字"/>
    <w:basedOn w:val="877"/>
    <w:uiPriority w:val="0"/>
    <w:qFormat/>
    <w:pPr>
      <w:ind w:firstLine="0"/>
      <w:spacing w:before="20" w:after="20" w:line="240" w:lineRule="auto"/>
    </w:pPr>
    <w:rPr>
      <w:rFonts w:ascii="Century Gothic" w:hAnsi="Century Gothic"/>
      <w:sz w:val="20"/>
      <w:szCs w:val="20"/>
    </w:rPr>
  </w:style>
  <w:style w:type="paragraph" w:styleId="1049" w:customStyle="1">
    <w:name w:val="Char Char Char Char Char Char Char Char Char Char1"/>
    <w:basedOn w:val="858"/>
    <w:uiPriority w:val="0"/>
    <w:qFormat/>
    <w:rPr>
      <w:rFonts w:ascii="宋体" w:hAnsi="宋体" w:cs="Courier New"/>
      <w:sz w:val="32"/>
      <w:szCs w:val="32"/>
    </w:rPr>
  </w:style>
  <w:style w:type="paragraph" w:styleId="1050" w:customStyle="1">
    <w:name w:val="正文文本样式 加粗"/>
    <w:basedOn w:val="1007"/>
    <w:uiPriority w:val="0"/>
    <w:qFormat/>
    <w:rPr>
      <w:b/>
    </w:rPr>
  </w:style>
  <w:style w:type="paragraph" w:styleId="1051" w:customStyle="1">
    <w:name w:val="Char2 Char Char Char Char Char Char"/>
    <w:basedOn w:val="858"/>
    <w:uiPriority w:val="0"/>
    <w:qFormat/>
    <w:pPr>
      <w:jc w:val="center"/>
      <w:spacing w:line="400" w:lineRule="exact"/>
      <w:widowControl/>
    </w:pPr>
  </w:style>
  <w:style w:type="paragraph" w:styleId="1052" w:customStyle="1">
    <w:name w:val="Char Char4"/>
    <w:basedOn w:val="858"/>
    <w:uiPriority w:val="0"/>
    <w:qFormat/>
    <w:pPr>
      <w:jc w:val="center"/>
      <w:spacing w:line="400" w:lineRule="exact"/>
      <w:widowControl/>
    </w:pPr>
  </w:style>
  <w:style w:type="paragraph" w:styleId="1053" w:customStyle="1">
    <w:name w:val="Char3 Char Char Char1"/>
    <w:basedOn w:val="858"/>
    <w:uiPriority w:val="0"/>
    <w:qFormat/>
    <w:rPr>
      <w:rFonts w:ascii="Tahoma" w:hAnsi="Tahoma"/>
      <w:sz w:val="24"/>
      <w:szCs w:val="20"/>
    </w:rPr>
  </w:style>
  <w:style w:type="paragraph" w:styleId="105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22222222222222"/>
    <w:basedOn w:val="858"/>
    <w:uiPriority w:val="0"/>
    <w:qFormat/>
    <w:pPr>
      <w:ind w:firstLine="480"/>
      <w:jc w:val="left"/>
      <w:spacing w:line="360" w:lineRule="auto"/>
      <w:widowControl/>
    </w:pPr>
    <w:rPr>
      <w:color w:val="ff0000"/>
      <w:sz w:val="24"/>
      <w:szCs w:val="20"/>
    </w:rPr>
  </w:style>
  <w:style w:type="character" w:styleId="1056" w:customStyle="1">
    <w:name w:val="中等深浅网格 1 - 强调文字颜色 2 Char"/>
    <w:link w:val="1057"/>
    <w:uiPriority w:val="0"/>
    <w:qFormat/>
    <w:rPr>
      <w:sz w:val="21"/>
      <w:szCs w:val="24"/>
      <w:lang w:val="zh-CN" w:eastAsia="zh-CN" w:bidi="ar-SA"/>
    </w:rPr>
  </w:style>
  <w:style w:type="paragraph" w:styleId="1057" w:customStyle="1">
    <w:name w:val="1"/>
    <w:link w:val="1056"/>
    <w:uiPriority w:val="0"/>
    <w:qFormat/>
    <w:rPr>
      <w:rFonts w:ascii="Times New Roman" w:hAnsi="Times New Roman" w:eastAsia="宋体" w:cs="Times New Roman"/>
      <w:sz w:val="21"/>
      <w:szCs w:val="24"/>
      <w:lang w:val="zh-CN" w:eastAsia="zh-CN" w:bidi="ar-SA"/>
    </w:rPr>
  </w:style>
  <w:style w:type="paragraph" w:styleId="1058" w:customStyle="1">
    <w:name w:val="图文"/>
    <w:basedOn w:val="858"/>
    <w:uiPriority w:val="0"/>
    <w:qFormat/>
    <w:pPr>
      <w:spacing w:after="50" w:line="360" w:lineRule="auto"/>
    </w:pPr>
    <w:rPr>
      <w:sz w:val="24"/>
    </w:rPr>
  </w:style>
  <w:style w:type="paragraph" w:styleId="1059" w:customStyle="1">
    <w:name w:val="xl23"/>
    <w:basedOn w:val="858"/>
    <w:uiPriority w:val="0"/>
    <w:qFormat/>
    <w:pPr>
      <w:spacing w:before="100" w:beforeAutospacing="1" w:after="100" w:afterAutospacing="1" w:line="360" w:lineRule="auto"/>
      <w:widowControl/>
    </w:pPr>
    <w:rPr>
      <w:sz w:val="24"/>
      <w:szCs w:val="20"/>
    </w:rPr>
  </w:style>
  <w:style w:type="paragraph" w:styleId="1060" w:customStyle="1">
    <w:name w:val="正文表格"/>
    <w:basedOn w:val="858"/>
    <w:link w:val="1061"/>
    <w:uiPriority w:val="0"/>
    <w:qFormat/>
    <w:pPr>
      <w:jc w:val="left"/>
    </w:pPr>
    <w:rPr>
      <w:rFonts w:ascii="宋体" w:hAnsi="宋体"/>
      <w:color w:val="000000"/>
      <w:szCs w:val="21"/>
    </w:rPr>
  </w:style>
  <w:style w:type="character" w:styleId="1061" w:customStyle="1">
    <w:name w:val="正文表格 Char"/>
    <w:link w:val="1060"/>
    <w:uiPriority w:val="0"/>
    <w:qFormat/>
    <w:rPr>
      <w:rFonts w:ascii="宋体" w:hAnsi="宋体"/>
      <w:color w:val="000000"/>
      <w:sz w:val="21"/>
      <w:szCs w:val="21"/>
    </w:rPr>
  </w:style>
  <w:style w:type="paragraph" w:styleId="1062" w:customStyle="1">
    <w:name w:val="正文重点"/>
    <w:basedOn w:val="858"/>
    <w:link w:val="1063"/>
    <w:uiPriority w:val="0"/>
    <w:qFormat/>
    <w:pPr>
      <w:ind w:firstLine="482"/>
      <w:jc w:val="left"/>
      <w:spacing w:line="360" w:lineRule="auto"/>
    </w:pPr>
    <w:rPr>
      <w:b/>
      <w:sz w:val="24"/>
      <w:szCs w:val="20"/>
    </w:rPr>
  </w:style>
  <w:style w:type="character" w:styleId="1063" w:customStyle="1">
    <w:name w:val="正文重点 Char"/>
    <w:link w:val="1062"/>
    <w:uiPriority w:val="0"/>
    <w:qFormat/>
    <w:rPr>
      <w:b/>
      <w:sz w:val="24"/>
    </w:rPr>
  </w:style>
  <w:style w:type="paragraph" w:styleId="1064" w:customStyle="1">
    <w:name w:val="标题1-附件"/>
    <w:basedOn w:val="859"/>
    <w:uiPriority w:val="0"/>
    <w:qFormat/>
    <w:pPr>
      <w:jc w:val="left"/>
    </w:pPr>
    <w:rPr>
      <w:sz w:val="24"/>
      <w:szCs w:val="24"/>
    </w:rPr>
  </w:style>
  <w:style w:type="paragraph" w:styleId="1065" w:customStyle="1">
    <w:name w:val="正文小标题"/>
    <w:basedOn w:val="858"/>
    <w:next w:val="871"/>
    <w:link w:val="1066"/>
    <w:uiPriority w:val="0"/>
    <w:qFormat/>
    <w:pPr>
      <w:ind w:firstLine="482"/>
      <w:jc w:val="left"/>
      <w:spacing w:before="312" w:after="312"/>
    </w:pPr>
    <w:rPr>
      <w:rFonts w:ascii="宋体" w:hAnsi="宋体"/>
      <w:b/>
      <w:i/>
      <w:color w:val="ff0000"/>
      <w:sz w:val="24"/>
      <w:szCs w:val="20"/>
    </w:rPr>
  </w:style>
  <w:style w:type="character" w:styleId="1066" w:customStyle="1">
    <w:name w:val="正文小标题 Char"/>
    <w:link w:val="1065"/>
    <w:uiPriority w:val="0"/>
    <w:qFormat/>
    <w:rPr>
      <w:rFonts w:ascii="宋体" w:hAnsi="宋体"/>
      <w:b/>
      <w:i/>
      <w:color w:val="ff0000"/>
      <w:sz w:val="24"/>
    </w:rPr>
  </w:style>
  <w:style w:type="paragraph" w:styleId="1067" w:customStyle="1">
    <w:name w:val="正文大标题"/>
    <w:basedOn w:val="1065"/>
    <w:next w:val="871"/>
    <w:link w:val="1068"/>
    <w:uiPriority w:val="0"/>
    <w:qFormat/>
    <w:pPr>
      <w:jc w:val="center"/>
    </w:pPr>
    <w:rPr>
      <w:i w:val="0"/>
      <w:color w:val="000000"/>
      <w:sz w:val="28"/>
      <w:szCs w:val="21"/>
    </w:rPr>
  </w:style>
  <w:style w:type="character" w:styleId="1068" w:customStyle="1">
    <w:name w:val="正文大标题 Char"/>
    <w:link w:val="1067"/>
    <w:uiPriority w:val="0"/>
    <w:qFormat/>
    <w:rPr>
      <w:rFonts w:ascii="宋体" w:hAnsi="宋体"/>
      <w:b/>
      <w:color w:val="000000"/>
      <w:sz w:val="28"/>
      <w:szCs w:val="21"/>
    </w:rPr>
  </w:style>
  <w:style w:type="paragraph" w:styleId="1069" w:customStyle="1">
    <w:name w:val="注释"/>
    <w:basedOn w:val="858"/>
    <w:link w:val="1070"/>
    <w:uiPriority w:val="0"/>
    <w:qFormat/>
    <w:pPr>
      <w:ind w:left="420" w:hanging="420"/>
      <w:jc w:val="left"/>
    </w:pPr>
    <w:rPr>
      <w:rFonts w:ascii="宋体" w:hAnsi="宋体"/>
      <w:szCs w:val="21"/>
    </w:rPr>
  </w:style>
  <w:style w:type="character" w:styleId="1070" w:customStyle="1">
    <w:name w:val="注释 Char"/>
    <w:link w:val="1069"/>
    <w:uiPriority w:val="0"/>
    <w:qFormat/>
    <w:rPr>
      <w:rFonts w:ascii="宋体" w:hAnsi="宋体"/>
      <w:sz w:val="21"/>
      <w:szCs w:val="21"/>
    </w:rPr>
  </w:style>
  <w:style w:type="paragraph" w:styleId="1071" w:customStyle="1">
    <w:name w:val="正文须知-1级"/>
    <w:basedOn w:val="858"/>
    <w:next w:val="858"/>
    <w:uiPriority w:val="0"/>
    <w:qFormat/>
    <w:pPr>
      <w:numPr>
        <w:ilvl w:val="0"/>
        <w:numId w:val="8"/>
      </w:numPr>
      <w:spacing w:line="300" w:lineRule="auto"/>
    </w:pPr>
    <w:rPr>
      <w:rFonts w:ascii="宋体" w:hAnsi="Calibri"/>
      <w:sz w:val="24"/>
      <w:szCs w:val="21"/>
    </w:rPr>
  </w:style>
  <w:style w:type="paragraph" w:styleId="1072" w:customStyle="1">
    <w:name w:val="正文须知-2级"/>
    <w:basedOn w:val="858"/>
    <w:uiPriority w:val="0"/>
    <w:qFormat/>
    <w:pPr>
      <w:numPr>
        <w:ilvl w:val="1"/>
        <w:numId w:val="8"/>
      </w:numPr>
      <w:spacing w:line="300" w:lineRule="auto"/>
    </w:pPr>
    <w:rPr>
      <w:rFonts w:ascii="宋体" w:hAnsi="Calibri"/>
      <w:sz w:val="24"/>
      <w:szCs w:val="21"/>
    </w:rPr>
  </w:style>
  <w:style w:type="paragraph" w:styleId="1073" w:customStyle="1">
    <w:name w:val="正文须知-3级"/>
    <w:basedOn w:val="858"/>
    <w:uiPriority w:val="0"/>
    <w:qFormat/>
    <w:pPr>
      <w:numPr>
        <w:ilvl w:val="2"/>
        <w:numId w:val="8"/>
      </w:numPr>
      <w:ind w:hanging="355"/>
      <w:spacing w:line="300" w:lineRule="auto"/>
    </w:pPr>
    <w:rPr>
      <w:rFonts w:ascii="宋体" w:hAnsi="Calibri"/>
      <w:sz w:val="24"/>
      <w:szCs w:val="21"/>
    </w:rPr>
  </w:style>
  <w:style w:type="character" w:styleId="1074" w:customStyle="1">
    <w:name w:val="纯文本 字符"/>
    <w:uiPriority w:val="99"/>
    <w:qFormat/>
    <w:rPr>
      <w:rFonts w:ascii="宋体" w:hAnsi="Courier New" w:eastAsia="宋体" w:cs="Times New Roman"/>
      <w:sz w:val="21"/>
      <w:szCs w:val="21"/>
      <w:lang w:val="en-US" w:eastAsia="zh-CN" w:bidi="ar-SA"/>
    </w:rPr>
  </w:style>
  <w:style w:type="paragraph" w:styleId="1075" w:customStyle="1">
    <w:name w:val="表格1"/>
    <w:basedOn w:val="858"/>
    <w:uiPriority w:val="0"/>
    <w:qFormat/>
    <w:pPr>
      <w:ind w:firstLine="480"/>
      <w:jc w:val="center"/>
    </w:pPr>
    <w:rPr>
      <w:sz w:val="24"/>
      <w:szCs w:val="20"/>
    </w:rPr>
  </w:style>
  <w:style w:type="character" w:styleId="1076" w:customStyle="1">
    <w:name w:val="纯文本 字符1"/>
    <w:uiPriority w:val="0"/>
    <w:qFormat/>
    <w:rPr>
      <w:rFonts w:ascii="宋体" w:hAnsi="Courier New"/>
    </w:rPr>
  </w:style>
  <w:style w:type="character" w:styleId="1077" w:customStyle="1">
    <w:name w:val="bjh-p"/>
    <w:uiPriority w:val="0"/>
    <w:qFormat/>
  </w:style>
  <w:style w:type="paragraph" w:styleId="1078" w:customStyle="1">
    <w:name w:val="无标题条"/>
    <w:next w:val="858"/>
    <w:uiPriority w:val="0"/>
    <w:qFormat/>
    <w:pPr>
      <w:jc w:val="both"/>
    </w:pPr>
    <w:rPr>
      <w:rFonts w:ascii="Times New Roman" w:hAnsi="Times New Roman" w:eastAsia="宋体" w:cs="Times New Roman"/>
      <w:sz w:val="21"/>
      <w:lang w:val="en-US" w:eastAsia="zh-CN" w:bidi="ar-SA"/>
    </w:rPr>
  </w:style>
  <w:style w:type="character" w:styleId="1079" w:customStyle="1">
    <w:name w:val="正文格式 Char"/>
    <w:link w:val="1080"/>
    <w:uiPriority w:val="0"/>
    <w:qFormat/>
    <w:rPr>
      <w:rFonts w:ascii="宋体" w:hAnsi="宋体"/>
      <w:sz w:val="24"/>
      <w:szCs w:val="24"/>
      <w:lang w:val="en-GB"/>
    </w:rPr>
  </w:style>
  <w:style w:type="paragraph" w:styleId="1080" w:customStyle="1">
    <w:name w:val="正文格式"/>
    <w:basedOn w:val="858"/>
    <w:link w:val="1079"/>
    <w:uiPriority w:val="0"/>
    <w:qFormat/>
    <w:pPr>
      <w:ind w:firstLine="480"/>
      <w:spacing w:line="360" w:lineRule="auto"/>
    </w:pPr>
    <w:rPr>
      <w:rFonts w:ascii="宋体" w:hAnsi="宋体"/>
      <w:sz w:val="24"/>
      <w:lang w:val="en-GB"/>
    </w:rPr>
  </w:style>
  <w:style w:type="character" w:styleId="1081" w:customStyle="1">
    <w:name w:val="标题 3 Char"/>
    <w:uiPriority w:val="0"/>
    <w:qFormat/>
    <w:rPr>
      <w:rFonts w:ascii="宋体" w:eastAsia="宋体"/>
      <w:b/>
      <w:sz w:val="24"/>
      <w:u w:val="single"/>
      <w:lang w:val="en-US" w:eastAsia="zh-CN" w:bidi="ar-SA"/>
    </w:rPr>
  </w:style>
  <w:style w:type="character" w:styleId="1082" w:customStyle="1">
    <w:name w:val="正文缩进 Char"/>
    <w:uiPriority w:val="0"/>
    <w:qFormat/>
    <w:rPr>
      <w:rFonts w:ascii="宋体" w:eastAsia="宋体"/>
      <w:sz w:val="24"/>
      <w:szCs w:val="24"/>
      <w:lang w:val="en-US" w:eastAsia="zh-CN" w:bidi="ar-SA"/>
    </w:rPr>
  </w:style>
  <w:style w:type="character" w:styleId="1083" w:customStyle="1">
    <w:name w:val="Char Char111"/>
    <w:uiPriority w:val="0"/>
    <w:qFormat/>
    <w:rPr>
      <w:rFonts w:ascii="宋体" w:eastAsia="宋体"/>
      <w:b/>
      <w:sz w:val="24"/>
      <w:u w:val="single"/>
      <w:lang w:val="en-US" w:eastAsia="zh-CN" w:bidi="ar-SA"/>
    </w:rPr>
  </w:style>
  <w:style w:type="character" w:styleId="1084" w:customStyle="1">
    <w:name w:val="正文文本缩进 Char"/>
    <w:uiPriority w:val="0"/>
    <w:qFormat/>
    <w:rPr>
      <w:rFonts w:eastAsia="宋体"/>
      <w:sz w:val="24"/>
      <w:szCs w:val="24"/>
      <w:lang w:val="en-US" w:eastAsia="zh-CN" w:bidi="ar-SA"/>
    </w:rPr>
  </w:style>
  <w:style w:type="character" w:styleId="1085" w:customStyle="1">
    <w:name w:val="列出段落 Char"/>
    <w:uiPriority w:val="0"/>
    <w:qFormat/>
    <w:rPr>
      <w:rFonts w:ascii="Calibri" w:hAnsi="Calibri" w:eastAsia="宋体"/>
      <w:sz w:val="21"/>
      <w:szCs w:val="22"/>
      <w:lang w:val="en-US" w:eastAsia="zh-CN" w:bidi="ar-SA"/>
    </w:rPr>
  </w:style>
  <w:style w:type="character" w:styleId="1086" w:customStyle="1">
    <w:name w:val="页眉 Char"/>
    <w:uiPriority w:val="0"/>
    <w:qFormat/>
    <w:rPr>
      <w:rFonts w:eastAsia="宋体"/>
      <w:sz w:val="18"/>
      <w:szCs w:val="18"/>
      <w:lang w:val="en-US" w:eastAsia="zh-CN" w:bidi="ar-SA"/>
    </w:rPr>
  </w:style>
  <w:style w:type="paragraph" w:styleId="1087" w:customStyle="1">
    <w:name w:val="字元 字元2"/>
    <w:basedOn w:val="858"/>
    <w:uiPriority w:val="0"/>
    <w:qFormat/>
    <w:rPr>
      <w:rFonts w:ascii="Tahoma" w:hAnsi="Tahoma"/>
      <w:sz w:val="24"/>
      <w:szCs w:val="20"/>
    </w:rPr>
  </w:style>
  <w:style w:type="paragraph" w:styleId="1088" w:customStyle="1">
    <w:name w:val="Char3 Char Char Char2"/>
    <w:basedOn w:val="858"/>
    <w:uiPriority w:val="0"/>
    <w:qFormat/>
    <w:rPr>
      <w:rFonts w:ascii="Tahoma" w:hAnsi="Tahoma"/>
      <w:sz w:val="24"/>
      <w:szCs w:val="20"/>
    </w:rPr>
  </w:style>
  <w:style w:type="paragraph" w:styleId="1089" w:customStyle="1">
    <w:name w:val="正文文本缩进2"/>
    <w:basedOn w:val="858"/>
    <w:uiPriority w:val="0"/>
    <w:qFormat/>
    <w:pPr>
      <w:ind w:firstLine="480"/>
      <w:spacing w:line="480" w:lineRule="exact"/>
    </w:pPr>
    <w:rPr>
      <w:rFonts w:ascii="宋体" w:hAnsi="宋体"/>
      <w:sz w:val="24"/>
      <w:lang w:val="zh-CN"/>
    </w:rPr>
  </w:style>
  <w:style w:type="paragraph" w:styleId="1090" w:customStyle="1">
    <w:name w:val="Char3"/>
    <w:basedOn w:val="858"/>
    <w:uiPriority w:val="0"/>
    <w:qFormat/>
    <w:pPr>
      <w:tabs>
        <w:tab w:val="left" w:pos="360" w:leader="none"/>
      </w:tabs>
    </w:pPr>
    <w:rPr>
      <w:sz w:val="24"/>
    </w:rPr>
  </w:style>
  <w:style w:type="paragraph" w:styleId="1091" w:customStyle="1">
    <w:name w:val="Char Char Char Char Char Char Char Char Char Char Char Char Char Char Char Char1"/>
    <w:basedOn w:val="858"/>
    <w:uiPriority w:val="0"/>
    <w:qFormat/>
    <w:pPr>
      <w:jc w:val="center"/>
      <w:spacing w:after="160" w:line="240" w:lineRule="exact"/>
      <w:widowControl/>
    </w:pPr>
    <w:rPr>
      <w:rFonts w:ascii="宋体" w:hAnsi="宋体"/>
      <w:b/>
      <w:sz w:val="30"/>
      <w:szCs w:val="30"/>
      <w:lang w:eastAsia="en-US"/>
    </w:rPr>
  </w:style>
  <w:style w:type="paragraph" w:styleId="1092" w:customStyle="1">
    <w:name w:val="Char Char1 Char Char Char Char Char Char1"/>
    <w:basedOn w:val="858"/>
    <w:uiPriority w:val="0"/>
    <w:qFormat/>
    <w:pPr>
      <w:jc w:val="left"/>
      <w:spacing w:after="160" w:line="240" w:lineRule="exact"/>
      <w:widowControl/>
    </w:pPr>
    <w:rPr>
      <w:rFonts w:ascii="Verdana" w:hAnsi="Verdana" w:eastAsia="仿宋_GB2312"/>
      <w:sz w:val="24"/>
      <w:szCs w:val="20"/>
      <w:lang w:eastAsia="en-US"/>
    </w:rPr>
  </w:style>
  <w:style w:type="paragraph" w:styleId="1093" w:customStyle="1">
    <w:name w:val="列出段落2"/>
    <w:basedOn w:val="858"/>
    <w:uiPriority w:val="0"/>
    <w:qFormat/>
    <w:pPr>
      <w:ind w:firstLine="420"/>
    </w:pPr>
    <w:rPr>
      <w:rFonts w:ascii="Calibri" w:hAnsi="Calibri"/>
      <w:szCs w:val="22"/>
    </w:rPr>
  </w:style>
  <w:style w:type="paragraph" w:styleId="1094" w:customStyle="1">
    <w:name w:val="Char Char Char1 Char2"/>
    <w:basedOn w:val="858"/>
    <w:uiPriority w:val="0"/>
    <w:qFormat/>
    <w:rPr>
      <w:rFonts w:ascii="Tahoma" w:hAnsi="Tahoma"/>
      <w:sz w:val="24"/>
      <w:szCs w:val="20"/>
    </w:rPr>
  </w:style>
  <w:style w:type="paragraph" w:styleId="1095" w:customStyle="1">
    <w:name w:val="Char Char Char2"/>
    <w:basedOn w:val="858"/>
    <w:uiPriority w:val="0"/>
    <w:qFormat/>
    <w:rPr>
      <w:rFonts w:ascii="Tahoma" w:hAnsi="Tahoma"/>
      <w:sz w:val="24"/>
      <w:szCs w:val="20"/>
    </w:rPr>
  </w:style>
  <w:style w:type="paragraph" w:styleId="1096" w:customStyle="1">
    <w:name w:val="Char Char Char Char Char Char Char2"/>
    <w:basedOn w:val="858"/>
    <w:uiPriority w:val="0"/>
    <w:qFormat/>
    <w:pPr>
      <w:ind w:firstLine="200"/>
      <w:spacing w:line="360" w:lineRule="auto"/>
    </w:pPr>
    <w:rPr>
      <w:rFonts w:eastAsia="仿宋_GB2312"/>
      <w:sz w:val="24"/>
    </w:rPr>
  </w:style>
  <w:style w:type="paragraph" w:styleId="1097" w:customStyle="1">
    <w:name w:val="正文缩进2"/>
    <w:basedOn w:val="858"/>
    <w:uiPriority w:val="0"/>
    <w:qFormat/>
    <w:pPr>
      <w:ind w:firstLine="567"/>
      <w:spacing w:line="480" w:lineRule="exact"/>
      <w:widowControl/>
    </w:pPr>
    <w:rPr>
      <w:rFonts w:ascii="宋体"/>
      <w:color w:val="000000"/>
      <w:sz w:val="28"/>
      <w:szCs w:val="20"/>
      <w:lang w:val="zh-CN"/>
    </w:rPr>
  </w:style>
  <w:style w:type="paragraph" w:styleId="1098" w:customStyle="1">
    <w:name w:val="修订1"/>
    <w:uiPriority w:val="0"/>
    <w:qFormat/>
    <w:rPr>
      <w:rFonts w:ascii="Times New Roman" w:hAnsi="Times New Roman" w:eastAsia="宋体" w:cs="Times New Roman"/>
      <w:sz w:val="21"/>
      <w:szCs w:val="24"/>
      <w:lang w:val="en-US" w:eastAsia="zh-CN" w:bidi="ar-SA"/>
    </w:rPr>
  </w:style>
  <w:style w:type="paragraph" w:styleId="1099" w:customStyle="1">
    <w:name w:val="Char22"/>
    <w:basedOn w:val="858"/>
    <w:uiPriority w:val="0"/>
    <w:qFormat/>
    <w:rPr>
      <w:rFonts w:ascii="Tahoma" w:hAnsi="Tahoma"/>
      <w:sz w:val="24"/>
      <w:szCs w:val="20"/>
    </w:rPr>
  </w:style>
  <w:style w:type="paragraph" w:styleId="1100" w:customStyle="1">
    <w:name w:val="Char Char Char Char Char Char Char Char Char Char2"/>
    <w:basedOn w:val="858"/>
    <w:uiPriority w:val="0"/>
    <w:qFormat/>
    <w:rPr>
      <w:rFonts w:ascii="宋体" w:hAnsi="宋体" w:cs="Courier New"/>
      <w:sz w:val="32"/>
      <w:szCs w:val="32"/>
    </w:rPr>
  </w:style>
  <w:style w:type="paragraph" w:styleId="1101" w:customStyle="1">
    <w:name w:val="Char2 Char Char Char Char Char Char1"/>
    <w:basedOn w:val="858"/>
    <w:uiPriority w:val="0"/>
    <w:qFormat/>
    <w:pPr>
      <w:jc w:val="center"/>
      <w:spacing w:line="400" w:lineRule="exact"/>
      <w:widowControl/>
    </w:pPr>
  </w:style>
  <w:style w:type="character" w:styleId="1102" w:customStyle="1">
    <w:name w:val="页脚 Char"/>
    <w:uiPriority w:val="0"/>
    <w:qFormat/>
    <w:rPr>
      <w:rFonts w:ascii="宋体" w:eastAsia="宋体"/>
      <w:sz w:val="18"/>
      <w:lang w:val="en-US" w:eastAsia="zh-CN" w:bidi="ar-SA"/>
    </w:rPr>
  </w:style>
  <w:style w:type="paragraph" w:styleId="1103" w:customStyle="1">
    <w:name w:val="Char Char41"/>
    <w:basedOn w:val="858"/>
    <w:uiPriority w:val="0"/>
    <w:qFormat/>
    <w:pPr>
      <w:jc w:val="center"/>
      <w:spacing w:line="400" w:lineRule="exact"/>
      <w:widowControl/>
    </w:pPr>
  </w:style>
  <w:style w:type="character" w:styleId="1104" w:customStyle="1">
    <w:name w:val="批注文字 Char"/>
    <w:uiPriority w:val="99"/>
    <w:qFormat/>
    <w:rPr>
      <w:sz w:val="21"/>
      <w:szCs w:val="24"/>
    </w:rPr>
  </w:style>
  <w:style w:type="character" w:styleId="1105" w:customStyle="1">
    <w:name w:val="标题 Char"/>
    <w:uiPriority w:val="0"/>
    <w:qFormat/>
    <w:rPr>
      <w:b/>
      <w:sz w:val="32"/>
    </w:rPr>
  </w:style>
  <w:style w:type="paragraph" w:styleId="1106" w:customStyle="1">
    <w:name w:val="图例"/>
    <w:basedOn w:val="858"/>
    <w:uiPriority w:val="0"/>
    <w:qFormat/>
    <w:pPr>
      <w:jc w:val="center"/>
      <w:spacing w:before="120" w:after="120" w:line="360" w:lineRule="auto"/>
    </w:pPr>
    <w:rPr>
      <w:rFonts w:eastAsia="仿宋_GB2312"/>
      <w:b/>
      <w:sz w:val="24"/>
      <w:szCs w:val="20"/>
    </w:rPr>
  </w:style>
  <w:style w:type="table" w:styleId="110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08" w:customStyle="1">
    <w:name w:val="Table Paragraph"/>
    <w:basedOn w:val="858"/>
    <w:uiPriority w:val="1"/>
    <w:qFormat/>
    <w:pPr>
      <w:jc w:val="left"/>
    </w:pPr>
    <w:rPr>
      <w:rFonts w:ascii="宋体" w:hAnsi="宋体" w:cs="宋体"/>
      <w:sz w:val="22"/>
      <w:szCs w:val="22"/>
      <w:lang w:eastAsia="en-US"/>
    </w:rPr>
  </w:style>
  <w:style w:type="paragraph" w:styleId="1109" w:customStyle="1">
    <w:name w:val="成文日期"/>
    <w:basedOn w:val="858"/>
    <w:link w:val="1110"/>
    <w:uiPriority w:val="0"/>
    <w:qFormat/>
    <w:pPr>
      <w:ind w:right="400" w:firstLine="200"/>
      <w:jc w:val="right"/>
      <w:spacing w:line="570" w:lineRule="exact"/>
    </w:pPr>
    <w:rPr>
      <w:rFonts w:ascii="仿宋_GB2312" w:eastAsia="仿宋_GB2312"/>
      <w:sz w:val="32"/>
      <w:szCs w:val="20"/>
    </w:rPr>
  </w:style>
  <w:style w:type="character" w:styleId="1110" w:customStyle="1">
    <w:name w:val="成文日期 Char"/>
    <w:link w:val="1109"/>
    <w:uiPriority w:val="0"/>
    <w:qFormat/>
    <w:rPr>
      <w:rFonts w:ascii="仿宋_GB2312" w:eastAsia="仿宋_GB2312"/>
      <w:sz w:val="32"/>
    </w:rPr>
  </w:style>
  <w:style w:type="paragraph" w:styleId="1111" w:customStyle="1">
    <w:name w:val="Revision1"/>
    <w:uiPriority w:val="99"/>
    <w:unhideWhenUsed/>
    <w:qFormat/>
    <w:rPr>
      <w:rFonts w:ascii="Times New Roman" w:hAnsi="Times New Roman" w:eastAsia="宋体" w:cs="Times New Roman"/>
      <w:sz w:val="21"/>
      <w:szCs w:val="24"/>
      <w:lang w:val="en-US" w:eastAsia="zh-CN" w:bidi="ar-SA"/>
    </w:rPr>
  </w:style>
  <w:style w:type="character" w:styleId="1112" w:customStyle="1">
    <w:name w:val="正文缩进 字符"/>
    <w:uiPriority w:val="0"/>
    <w:qFormat/>
    <w:rPr>
      <w:rFonts w:ascii="宋体" w:hAnsi="宋体" w:eastAsia="宋体"/>
      <w:sz w:val="24"/>
      <w:szCs w:val="24"/>
    </w:rPr>
  </w:style>
  <w:style w:type="character" w:styleId="1113" w:customStyle="1">
    <w:name w:val="NormalCharacter"/>
    <w:uiPriority w:val="0"/>
    <w:qFormat/>
  </w:style>
  <w:style w:type="character" w:styleId="1114" w:customStyle="1">
    <w:name w:val="正文缩进 Char1"/>
    <w:uiPriority w:val="0"/>
    <w:qFormat/>
    <w:rPr>
      <w:rFonts w:ascii="宋体" w:hAnsi="宋体" w:eastAsia="宋体"/>
      <w:sz w:val="24"/>
    </w:rPr>
  </w:style>
  <w:style w:type="paragraph" w:styleId="1115" w:customStyle="1">
    <w:name w:val="索引 11"/>
    <w:basedOn w:val="858"/>
    <w:next w:val="858"/>
    <w:uiPriority w:val="0"/>
    <w:qFormat/>
    <w:pPr>
      <w:spacing w:line="360" w:lineRule="auto"/>
    </w:pPr>
    <w:rPr>
      <w:rFonts w:ascii="仿宋_GB2312" w:eastAsia="仿宋_GB2312"/>
      <w:sz w:val="24"/>
      <w:szCs w:val="20"/>
    </w:rPr>
  </w:style>
  <w:style w:type="paragraph" w:styleId="1116" w:customStyle="1">
    <w:name w:val="样式 标题 1 + 宋体 居中 段前: 17 磅 段后: 16.5 磅"/>
    <w:basedOn w:val="859"/>
    <w:uiPriority w:val="0"/>
    <w:qFormat/>
    <w:pPr>
      <w:ind w:left="840" w:hanging="420"/>
      <w:pageBreakBefore/>
      <w:widowControl/>
      <w:tabs>
        <w:tab w:val="left" w:pos="840" w:leader="none"/>
      </w:tabs>
    </w:pPr>
    <w:rPr>
      <w:rFonts w:ascii="华文中宋" w:hAnsi="华文中宋" w:eastAsia="华文中宋" w:cs="宋体"/>
      <w:sz w:val="28"/>
    </w:rPr>
  </w:style>
  <w:style w:type="paragraph" w:styleId="1117" w:customStyle="1">
    <w:name w:val="表格"/>
    <w:basedOn w:val="858"/>
    <w:next w:val="858"/>
    <w:uiPriority w:val="0"/>
    <w:qFormat/>
    <w:pPr>
      <w:jc w:val="left"/>
      <w:widowControl/>
    </w:pPr>
    <w:rPr>
      <w:rFonts w:ascii="宋体" w:hAnsi="宋体" w:eastAsia="仿宋"/>
      <w:sz w:val="18"/>
      <w:lang w:val="zh-CN" w:bidi="zh-CN"/>
    </w:rPr>
  </w:style>
  <w:style w:type="paragraph" w:styleId="1118" w:customStyle="1">
    <w:name w:val="目录 53"/>
    <w:next w:val="858"/>
    <w:uiPriority w:val="0"/>
    <w:qFormat/>
    <w:pPr>
      <w:ind w:left="1275"/>
      <w:jc w:val="both"/>
    </w:pPr>
    <w:rPr>
      <w:rFonts w:ascii="Times New Roman" w:hAnsi="Times New Roman" w:eastAsia="宋体" w:cs="Times New Roman"/>
      <w:sz w:val="21"/>
      <w:lang w:val="en-US" w:eastAsia="zh-CN" w:bidi="ar-SA"/>
    </w:rPr>
  </w:style>
  <w:style w:type="paragraph" w:styleId="1119" w:customStyle="1">
    <w:name w:val="表格正文"/>
    <w:basedOn w:val="858"/>
    <w:uiPriority w:val="0"/>
    <w:qFormat/>
    <w:pPr>
      <w:spacing w:before="40" w:after="40"/>
    </w:pPr>
    <w:rPr>
      <w:szCs w:val="21"/>
    </w:rPr>
  </w:style>
  <w:style w:type="character" w:styleId="1120" w:customStyle="1">
    <w:name w:val="交叉引用"/>
    <w:uiPriority w:val="1"/>
    <w:qFormat/>
    <w:rPr>
      <w:color w:val="0000ff"/>
      <w:u w:val="single"/>
    </w:rPr>
  </w:style>
  <w:style w:type="paragraph" w:styleId="1121" w:customStyle="1">
    <w:name w:val="Table Text"/>
    <w:uiPriority w:val="0"/>
    <w:qFormat/>
    <w:pPr>
      <w:spacing w:line="360" w:lineRule="auto"/>
    </w:pPr>
    <w:rPr>
      <w:rFonts w:ascii="Arial" w:hAnsi="Arial" w:eastAsia="宋体" w:cs="Arial Narrow"/>
      <w:sz w:val="24"/>
      <w:szCs w:val="24"/>
      <w:lang w:val="en-US" w:eastAsia="zh-CN" w:bidi="ar-SA"/>
    </w:rPr>
  </w:style>
  <w:style w:type="character" w:styleId="1122" w:customStyle="1">
    <w:name w:val="font11"/>
    <w:uiPriority w:val="0"/>
    <w:qFormat/>
    <w:rPr>
      <w:rFonts w:hint="eastAsia" w:ascii="宋体" w:hAnsi="宋体" w:eastAsia="宋体" w:cs="宋体"/>
      <w:color w:val="000000"/>
      <w:sz w:val="21"/>
      <w:szCs w:val="21"/>
      <w:u w:val="none"/>
    </w:rPr>
  </w:style>
  <w:style w:type="character" w:styleId="1123" w:customStyle="1">
    <w:name w:val="font41"/>
    <w:uiPriority w:val="0"/>
    <w:qFormat/>
    <w:rPr>
      <w:rFonts w:hint="eastAsia" w:ascii="宋体" w:hAnsi="宋体" w:eastAsia="宋体" w:cs="宋体"/>
      <w:color w:val="000000"/>
      <w:sz w:val="21"/>
      <w:szCs w:val="21"/>
      <w:u w:val="none"/>
    </w:rPr>
  </w:style>
  <w:style w:type="character" w:styleId="1124" w:customStyle="1">
    <w:name w:val="font21"/>
    <w:basedOn w:val="868"/>
    <w:uiPriority w:val="0"/>
    <w:qFormat/>
    <w:rPr>
      <w:rFonts w:ascii="宋体" w:hAnsi="宋体" w:eastAsia="宋体" w:cs="宋体"/>
      <w:b/>
      <w:color w:val="000000"/>
      <w:sz w:val="22"/>
      <w:szCs w:val="22"/>
      <w:u w:val="none"/>
    </w:rPr>
  </w:style>
  <w:style w:type="character" w:styleId="1125" w:customStyle="1">
    <w:name w:val="font31"/>
    <w:uiPriority w:val="0"/>
    <w:qFormat/>
    <w:rPr>
      <w:rFonts w:hint="eastAsia" w:ascii="宋体" w:hAnsi="宋体" w:eastAsia="宋体" w:cs="宋体"/>
      <w:color w:val="000000"/>
      <w:sz w:val="18"/>
      <w:szCs w:val="18"/>
      <w:u w:val="none"/>
    </w:rPr>
  </w:style>
  <w:style w:type="paragraph" w:styleId="1126" w:customStyle="1">
    <w:name w:val="正文文本1"/>
    <w:basedOn w:val="858"/>
    <w:next w:val="858"/>
    <w:uiPriority w:val="0"/>
    <w:qFormat/>
    <w:pPr>
      <w:spacing w:before="120" w:line="22" w:lineRule="atLeast"/>
      <w:tabs>
        <w:tab w:val="left" w:pos="567" w:leader="none"/>
      </w:tabs>
    </w:pPr>
    <w:rPr>
      <w:rFonts w:ascii="宋体" w:hAnsi="宋体"/>
      <w:sz w:val="24"/>
    </w:rPr>
  </w:style>
  <w:style w:type="paragraph" w:styleId="1127" w:customStyle="1">
    <w:name w:val="纯文本11"/>
    <w:basedOn w:val="858"/>
    <w:next w:val="1128"/>
    <w:uiPriority w:val="99"/>
    <w:qFormat/>
    <w:rPr>
      <w:rFonts w:hint="eastAsia" w:ascii="宋体" w:hAnsi="Courier New"/>
      <w:szCs w:val="20"/>
    </w:rPr>
  </w:style>
  <w:style w:type="paragraph" w:styleId="1128" w:customStyle="1">
    <w:name w:val="正文缩进11"/>
    <w:basedOn w:val="858"/>
    <w:next w:val="858"/>
    <w:uiPriority w:val="99"/>
    <w:qFormat/>
    <w:pPr>
      <w:ind w:firstLine="420"/>
      <w:jc w:val="left"/>
    </w:pPr>
    <w:rPr>
      <w:rFonts w:ascii="宋体"/>
      <w:sz w:val="24"/>
    </w:rPr>
  </w:style>
  <w:style w:type="paragraph" w:styleId="1129" w:customStyle="1">
    <w:name w:val="null3"/>
    <w:uiPriority w:val="0"/>
    <w:qFormat/>
    <w:rPr>
      <w:rFonts w:hint="eastAsia" w:ascii="Calibri" w:hAnsi="Calibri" w:eastAsia="宋体" w:cs="Times New Roman"/>
      <w:lang w:val="en-US" w:eastAsia="zh-Hans" w:bidi="ar-SA"/>
    </w:rPr>
  </w:style>
  <w:style w:type="paragraph" w:styleId="1130" w:customStyle="1">
    <w:name w:val="标题 21"/>
    <w:basedOn w:val="858"/>
    <w:next w:val="1128"/>
    <w:uiPriority w:val="0"/>
    <w:qFormat/>
    <w:pPr>
      <w:jc w:val="center"/>
      <w:keepLines/>
      <w:keepNext/>
      <w:spacing w:before="120" w:line="300" w:lineRule="auto"/>
      <w:outlineLvl w:val="1"/>
    </w:pPr>
    <w:rPr>
      <w:rFonts w:ascii="Arial" w:hAnsi="Arial" w:eastAsia="黑体"/>
      <w:b/>
      <w:sz w:val="30"/>
      <w:szCs w:val="20"/>
    </w:rPr>
  </w:style>
  <w:style w:type="numbering" w:styleId="17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5</cp:revision>
  <dcterms:created xsi:type="dcterms:W3CDTF">2025-12-05T06:55:00Z</dcterms:created>
  <dcterms:modified xsi:type="dcterms:W3CDTF">2026-06-26T07:19:38Z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569DC3FECECA49FF80BCDC32B46465C1_13</vt:lpwstr>
  </property>
  <property fmtid="{D5CDD505-2E9C-101B-9397-08002B2CF9AE}" pid="4" name="KSOTemplateDocerSaveRecord">
    <vt:lpwstr>eyJoZGlkIjoiOTNhMzI2NTRjOWZlOWViMDkyNmJiNTlmOGVhMDdjZGQiLCJ1c2VySWQiOiIyNDAyNDY5NjEifQ==</vt:lpwstr>
  </property>
</Properties>
</file>